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E55E" w14:textId="77777777" w:rsidR="00B76310" w:rsidRPr="00EC141A" w:rsidRDefault="00B76310"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10"/>
          <w:lang w:val="es-ES"/>
        </w:rPr>
      </w:pPr>
    </w:p>
    <w:p w14:paraId="109F056B" w14:textId="3446F4FE" w:rsidR="00B76310" w:rsidRPr="00EC141A" w:rsidRDefault="00EC141A"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28"/>
          <w:lang w:val="es-ES"/>
        </w:rPr>
      </w:pPr>
      <w:r w:rsidRPr="00EC141A">
        <w:rPr>
          <w:b/>
          <w:color w:val="FFFFFF" w:themeColor="background1"/>
          <w:sz w:val="28"/>
          <w:lang w:val="es-ES"/>
        </w:rPr>
        <w:t xml:space="preserve">FICHA </w:t>
      </w:r>
      <w:r w:rsidRPr="00EC141A">
        <w:rPr>
          <w:b/>
          <w:caps/>
          <w:color w:val="FFFFFF" w:themeColor="background1"/>
          <w:sz w:val="28"/>
          <w:lang w:val="es-ES"/>
        </w:rPr>
        <w:t>pRÁCTICA</w:t>
      </w:r>
      <w:r w:rsidRPr="00EC141A">
        <w:rPr>
          <w:b/>
          <w:caps/>
          <w:color w:val="FFFFFF" w:themeColor="background1"/>
          <w:sz w:val="28"/>
          <w:lang w:val="es-ES"/>
        </w:rPr>
        <w:br/>
        <w:t>ESPECIAL MEDIDAS DE EMERGENCIA covid-19</w:t>
      </w:r>
      <w:r w:rsidR="003578E7" w:rsidRPr="00EC141A">
        <w:rPr>
          <w:b/>
          <w:caps/>
          <w:color w:val="FFFFFF" w:themeColor="background1"/>
          <w:sz w:val="28"/>
          <w:lang w:val="es-ES"/>
        </w:rPr>
        <w:br/>
      </w:r>
      <w:r w:rsidR="00B76310" w:rsidRPr="00EC141A">
        <w:rPr>
          <w:b/>
          <w:caps/>
          <w:color w:val="FFFFFF" w:themeColor="background1"/>
          <w:sz w:val="28"/>
          <w:lang w:val="es-ES"/>
        </w:rPr>
        <w:t>n°</w:t>
      </w:r>
      <w:r w:rsidR="00AA748C" w:rsidRPr="00EC141A">
        <w:rPr>
          <w:b/>
          <w:caps/>
          <w:color w:val="FFFFFF" w:themeColor="background1"/>
          <w:sz w:val="28"/>
          <w:lang w:val="es-ES"/>
        </w:rPr>
        <w:t>4</w:t>
      </w:r>
    </w:p>
    <w:p w14:paraId="49E23DEC" w14:textId="7AF26006" w:rsidR="007A77D9" w:rsidRPr="00EC141A" w:rsidRDefault="00EC141A" w:rsidP="00772402">
      <w:pPr>
        <w:pBdr>
          <w:top w:val="single" w:sz="8" w:space="1" w:color="auto"/>
          <w:left w:val="single" w:sz="8" w:space="4" w:color="auto"/>
          <w:bottom w:val="single" w:sz="8" w:space="1" w:color="auto"/>
          <w:right w:val="single" w:sz="8" w:space="4" w:color="auto"/>
        </w:pBdr>
        <w:shd w:val="clear" w:color="auto" w:fill="0088C9"/>
        <w:jc w:val="center"/>
        <w:rPr>
          <w:i/>
          <w:color w:val="0088C9"/>
          <w:sz w:val="8"/>
          <w:lang w:val="es-ES"/>
        </w:rPr>
      </w:pPr>
      <w:r w:rsidRPr="00EC141A">
        <w:rPr>
          <w:b/>
          <w:color w:val="FFFFFF" w:themeColor="background1"/>
          <w:sz w:val="32"/>
          <w:u w:val="single"/>
          <w:lang w:val="es-ES"/>
        </w:rPr>
        <w:t>Continuidad de los contratos comerciales</w:t>
      </w:r>
    </w:p>
    <w:p w14:paraId="6D4226EE" w14:textId="77777777" w:rsidR="00772402" w:rsidRPr="00EC141A" w:rsidRDefault="00772402" w:rsidP="008055F1">
      <w:pPr>
        <w:jc w:val="both"/>
        <w:rPr>
          <w:b/>
          <w:bCs/>
          <w:iCs/>
          <w:color w:val="0088C9"/>
          <w:sz w:val="24"/>
          <w:szCs w:val="24"/>
          <w:u w:val="single"/>
          <w:lang w:val="es-ES"/>
        </w:rPr>
      </w:pPr>
    </w:p>
    <w:p w14:paraId="05F54233" w14:textId="0E0A7864" w:rsidR="003578E7" w:rsidRPr="00EC141A" w:rsidRDefault="00EC141A" w:rsidP="008055F1">
      <w:pPr>
        <w:jc w:val="both"/>
        <w:rPr>
          <w:b/>
          <w:bCs/>
          <w:iCs/>
          <w:color w:val="0088C9"/>
          <w:sz w:val="24"/>
          <w:szCs w:val="24"/>
          <w:u w:val="single"/>
          <w:lang w:val="es-ES"/>
        </w:rPr>
      </w:pPr>
      <w:r w:rsidRPr="00EC141A">
        <w:rPr>
          <w:b/>
          <w:bCs/>
          <w:iCs/>
          <w:color w:val="0088C9"/>
          <w:sz w:val="24"/>
          <w:szCs w:val="24"/>
          <w:u w:val="single"/>
          <w:lang w:val="es-ES"/>
        </w:rPr>
        <w:t>Materia</w:t>
      </w:r>
      <w:r w:rsidR="003578E7" w:rsidRPr="00EC141A">
        <w:rPr>
          <w:b/>
          <w:bCs/>
          <w:iCs/>
          <w:color w:val="0088C9"/>
          <w:sz w:val="24"/>
          <w:szCs w:val="24"/>
          <w:u w:val="single"/>
          <w:lang w:val="es-ES"/>
        </w:rPr>
        <w:t xml:space="preserve">: </w:t>
      </w:r>
      <w:proofErr w:type="spellStart"/>
      <w:r w:rsidR="00AA748C" w:rsidRPr="00EC141A">
        <w:rPr>
          <w:b/>
          <w:bCs/>
          <w:iCs/>
          <w:color w:val="0088C9"/>
          <w:sz w:val="24"/>
          <w:szCs w:val="24"/>
          <w:u w:val="single"/>
          <w:lang w:val="es-ES"/>
        </w:rPr>
        <w:t>Contrats</w:t>
      </w:r>
      <w:proofErr w:type="spellEnd"/>
      <w:r w:rsidR="00AA748C" w:rsidRPr="00EC141A">
        <w:rPr>
          <w:b/>
          <w:bCs/>
          <w:iCs/>
          <w:color w:val="0088C9"/>
          <w:sz w:val="24"/>
          <w:szCs w:val="24"/>
          <w:u w:val="single"/>
          <w:lang w:val="es-ES"/>
        </w:rPr>
        <w:t xml:space="preserve"> - </w:t>
      </w:r>
      <w:proofErr w:type="spellStart"/>
      <w:r w:rsidR="00AA748C" w:rsidRPr="00EC141A">
        <w:rPr>
          <w:b/>
          <w:bCs/>
          <w:iCs/>
          <w:color w:val="0088C9"/>
          <w:sz w:val="24"/>
          <w:szCs w:val="24"/>
          <w:u w:val="single"/>
          <w:lang w:val="es-ES"/>
        </w:rPr>
        <w:t>Commercial</w:t>
      </w:r>
      <w:proofErr w:type="spellEnd"/>
    </w:p>
    <w:p w14:paraId="04847669" w14:textId="106EB7E6" w:rsidR="003578E7" w:rsidRPr="00EC141A" w:rsidRDefault="00EC141A" w:rsidP="008055F1">
      <w:pPr>
        <w:jc w:val="both"/>
        <w:rPr>
          <w:b/>
          <w:bCs/>
          <w:iCs/>
          <w:color w:val="0088C9"/>
          <w:sz w:val="24"/>
          <w:szCs w:val="24"/>
          <w:u w:val="single"/>
          <w:lang w:val="es-ES"/>
        </w:rPr>
      </w:pPr>
      <w:r w:rsidRPr="00EC141A">
        <w:rPr>
          <w:b/>
          <w:bCs/>
          <w:iCs/>
          <w:color w:val="0088C9"/>
          <w:sz w:val="24"/>
          <w:szCs w:val="24"/>
          <w:u w:val="single"/>
          <w:lang w:val="es-ES"/>
        </w:rPr>
        <w:t>Asunto</w:t>
      </w:r>
      <w:r w:rsidR="003578E7" w:rsidRPr="00EC141A">
        <w:rPr>
          <w:b/>
          <w:bCs/>
          <w:iCs/>
          <w:color w:val="0088C9"/>
          <w:sz w:val="24"/>
          <w:szCs w:val="24"/>
          <w:u w:val="single"/>
          <w:lang w:val="es-ES"/>
        </w:rPr>
        <w:t xml:space="preserve">: </w:t>
      </w:r>
      <w:proofErr w:type="spellStart"/>
      <w:r w:rsidR="00471B81" w:rsidRPr="00EC141A">
        <w:rPr>
          <w:b/>
          <w:bCs/>
          <w:iCs/>
          <w:color w:val="0088C9"/>
          <w:sz w:val="24"/>
          <w:szCs w:val="24"/>
          <w:u w:val="single"/>
          <w:lang w:val="es-ES"/>
        </w:rPr>
        <w:t>Continuité</w:t>
      </w:r>
      <w:proofErr w:type="spellEnd"/>
      <w:r w:rsidR="00471B81" w:rsidRPr="00EC141A">
        <w:rPr>
          <w:b/>
          <w:bCs/>
          <w:iCs/>
          <w:color w:val="0088C9"/>
          <w:sz w:val="24"/>
          <w:szCs w:val="24"/>
          <w:u w:val="single"/>
          <w:lang w:val="es-ES"/>
        </w:rPr>
        <w:t xml:space="preserve"> des </w:t>
      </w:r>
      <w:proofErr w:type="spellStart"/>
      <w:r w:rsidR="00471B81" w:rsidRPr="00EC141A">
        <w:rPr>
          <w:b/>
          <w:bCs/>
          <w:iCs/>
          <w:color w:val="0088C9"/>
          <w:sz w:val="24"/>
          <w:szCs w:val="24"/>
          <w:u w:val="single"/>
          <w:lang w:val="es-ES"/>
        </w:rPr>
        <w:t>contrats</w:t>
      </w:r>
      <w:proofErr w:type="spellEnd"/>
      <w:r w:rsidR="00471B81" w:rsidRPr="00EC141A">
        <w:rPr>
          <w:b/>
          <w:bCs/>
          <w:iCs/>
          <w:color w:val="0088C9"/>
          <w:sz w:val="24"/>
          <w:szCs w:val="24"/>
          <w:u w:val="single"/>
          <w:lang w:val="es-ES"/>
        </w:rPr>
        <w:t xml:space="preserve"> </w:t>
      </w:r>
      <w:proofErr w:type="spellStart"/>
      <w:r w:rsidR="00471B81" w:rsidRPr="00EC141A">
        <w:rPr>
          <w:b/>
          <w:bCs/>
          <w:iCs/>
          <w:color w:val="0088C9"/>
          <w:sz w:val="24"/>
          <w:szCs w:val="24"/>
          <w:u w:val="single"/>
          <w:lang w:val="es-ES"/>
        </w:rPr>
        <w:t>commerciaux</w:t>
      </w:r>
      <w:proofErr w:type="spellEnd"/>
    </w:p>
    <w:p w14:paraId="075562AC" w14:textId="7656750E" w:rsidR="003578E7" w:rsidRPr="00EC141A" w:rsidRDefault="00EC141A" w:rsidP="008055F1">
      <w:pPr>
        <w:jc w:val="both"/>
        <w:rPr>
          <w:b/>
          <w:bCs/>
          <w:iCs/>
          <w:color w:val="0088C9"/>
          <w:sz w:val="24"/>
          <w:szCs w:val="24"/>
          <w:u w:val="single"/>
          <w:lang w:val="es-ES"/>
        </w:rPr>
      </w:pPr>
      <w:r w:rsidRPr="00EC141A">
        <w:rPr>
          <w:b/>
          <w:bCs/>
          <w:iCs/>
          <w:color w:val="0088C9"/>
          <w:sz w:val="24"/>
          <w:szCs w:val="24"/>
          <w:u w:val="single"/>
          <w:lang w:val="es-ES"/>
        </w:rPr>
        <w:t>Fecha</w:t>
      </w:r>
      <w:r w:rsidR="003578E7" w:rsidRPr="00EC141A">
        <w:rPr>
          <w:b/>
          <w:bCs/>
          <w:iCs/>
          <w:color w:val="0088C9"/>
          <w:sz w:val="24"/>
          <w:szCs w:val="24"/>
          <w:u w:val="single"/>
          <w:lang w:val="es-ES"/>
        </w:rPr>
        <w:t xml:space="preserve">: </w:t>
      </w:r>
      <w:r w:rsidR="00AA748C" w:rsidRPr="00EC141A">
        <w:rPr>
          <w:b/>
          <w:bCs/>
          <w:iCs/>
          <w:color w:val="0088C9"/>
          <w:sz w:val="24"/>
          <w:szCs w:val="24"/>
          <w:u w:val="single"/>
          <w:lang w:val="es-ES"/>
        </w:rPr>
        <w:t>30</w:t>
      </w:r>
      <w:r w:rsidR="00A77D23" w:rsidRPr="00EC141A">
        <w:rPr>
          <w:b/>
          <w:bCs/>
          <w:iCs/>
          <w:color w:val="0088C9"/>
          <w:sz w:val="24"/>
          <w:szCs w:val="24"/>
          <w:u w:val="single"/>
          <w:lang w:val="es-ES"/>
        </w:rPr>
        <w:t>/</w:t>
      </w:r>
      <w:r w:rsidR="003578E7" w:rsidRPr="00EC141A">
        <w:rPr>
          <w:b/>
          <w:bCs/>
          <w:iCs/>
          <w:color w:val="0088C9"/>
          <w:sz w:val="24"/>
          <w:szCs w:val="24"/>
          <w:u w:val="single"/>
          <w:lang w:val="es-ES"/>
        </w:rPr>
        <w:t>03/2020</w:t>
      </w:r>
    </w:p>
    <w:p w14:paraId="5B9DB1E2" w14:textId="77777777" w:rsidR="00EC141A" w:rsidRPr="00EC141A" w:rsidRDefault="00EC141A" w:rsidP="00EC141A">
      <w:pPr>
        <w:jc w:val="both"/>
        <w:rPr>
          <w:i/>
          <w:color w:val="0088C9"/>
          <w:lang w:val="es-ES"/>
        </w:rPr>
      </w:pPr>
      <w:r w:rsidRPr="00EC141A">
        <w:rPr>
          <w:i/>
          <w:color w:val="0088C9"/>
          <w:lang w:val="es-ES"/>
        </w:rPr>
        <w:t>La pandemia del Covid-19 tiene consecuencias importantes en la actividad económica, lo que plantea el problema de la continuidad y la ejecución de los contratos, en particular los contratos comerciales.</w:t>
      </w:r>
    </w:p>
    <w:p w14:paraId="4BBE2370" w14:textId="00A04299" w:rsidR="00EC141A" w:rsidRPr="00EC141A" w:rsidRDefault="00EC141A" w:rsidP="00EC141A">
      <w:pPr>
        <w:jc w:val="both"/>
        <w:rPr>
          <w:i/>
          <w:color w:val="0088C9"/>
          <w:lang w:val="es-ES"/>
        </w:rPr>
      </w:pPr>
      <w:r w:rsidRPr="00EC141A">
        <w:rPr>
          <w:i/>
          <w:color w:val="0088C9"/>
          <w:lang w:val="es-ES"/>
        </w:rPr>
        <w:t xml:space="preserve">Surgen varias preguntas relativas a: </w:t>
      </w:r>
    </w:p>
    <w:p w14:paraId="58624E96" w14:textId="4AD80E31" w:rsidR="00EC141A" w:rsidRPr="00EC141A" w:rsidRDefault="00EC141A" w:rsidP="00EC141A">
      <w:pPr>
        <w:pStyle w:val="Paragraphedeliste"/>
        <w:numPr>
          <w:ilvl w:val="0"/>
          <w:numId w:val="14"/>
        </w:numPr>
        <w:jc w:val="both"/>
        <w:rPr>
          <w:i/>
          <w:color w:val="0088C9"/>
          <w:lang w:val="es-ES"/>
        </w:rPr>
      </w:pPr>
      <w:r w:rsidRPr="00EC141A">
        <w:rPr>
          <w:i/>
          <w:color w:val="0088C9"/>
          <w:lang w:val="es-ES"/>
        </w:rPr>
        <w:t>los plazos contractuales que expiran durante el estado de emergencia sanitaria;</w:t>
      </w:r>
    </w:p>
    <w:p w14:paraId="4E6DB499" w14:textId="69144512" w:rsidR="00EC141A" w:rsidRPr="00EC141A" w:rsidRDefault="00EC141A" w:rsidP="00EC141A">
      <w:pPr>
        <w:pStyle w:val="Paragraphedeliste"/>
        <w:numPr>
          <w:ilvl w:val="0"/>
          <w:numId w:val="14"/>
        </w:numPr>
        <w:jc w:val="both"/>
        <w:rPr>
          <w:i/>
          <w:color w:val="0088C9"/>
          <w:lang w:val="es-ES"/>
        </w:rPr>
      </w:pPr>
      <w:r w:rsidRPr="00EC141A">
        <w:rPr>
          <w:i/>
          <w:color w:val="0088C9"/>
          <w:lang w:val="es-ES"/>
        </w:rPr>
        <w:t>la invocación de fuerza mayor;</w:t>
      </w:r>
    </w:p>
    <w:p w14:paraId="61B61ED5" w14:textId="334759A6" w:rsidR="00EC141A" w:rsidRPr="00EC141A" w:rsidRDefault="00EC141A" w:rsidP="00EC141A">
      <w:pPr>
        <w:pStyle w:val="Paragraphedeliste"/>
        <w:numPr>
          <w:ilvl w:val="0"/>
          <w:numId w:val="14"/>
        </w:numPr>
        <w:jc w:val="both"/>
        <w:rPr>
          <w:i/>
          <w:color w:val="0088C9"/>
          <w:lang w:val="es-ES"/>
        </w:rPr>
      </w:pPr>
      <w:r w:rsidRPr="00EC141A">
        <w:rPr>
          <w:i/>
          <w:color w:val="0088C9"/>
          <w:lang w:val="es-ES"/>
        </w:rPr>
        <w:t>recurrir al mecanismo de contingencia;</w:t>
      </w:r>
    </w:p>
    <w:p w14:paraId="6AA73162" w14:textId="669301D4" w:rsidR="00772402" w:rsidRPr="00EC141A" w:rsidRDefault="00EC141A" w:rsidP="00EC141A">
      <w:pPr>
        <w:pStyle w:val="Paragraphedeliste"/>
        <w:numPr>
          <w:ilvl w:val="0"/>
          <w:numId w:val="14"/>
        </w:numPr>
        <w:jc w:val="both"/>
        <w:rPr>
          <w:i/>
          <w:color w:val="0088C9"/>
          <w:lang w:val="es-ES"/>
        </w:rPr>
      </w:pPr>
      <w:r w:rsidRPr="00EC141A">
        <w:rPr>
          <w:i/>
          <w:color w:val="0088C9"/>
          <w:lang w:val="es-ES"/>
        </w:rPr>
        <w:t>la excepción de la actuación.</w:t>
      </w:r>
    </w:p>
    <w:p w14:paraId="2C7B16D8" w14:textId="77777777" w:rsidR="00A77D23" w:rsidRPr="00EC141A" w:rsidRDefault="00A77D23" w:rsidP="00E97866">
      <w:pPr>
        <w:jc w:val="both"/>
        <w:rPr>
          <w:b/>
          <w:color w:val="0088C9"/>
          <w:sz w:val="28"/>
          <w:u w:val="single"/>
          <w:lang w:val="es-ES"/>
        </w:rPr>
      </w:pPr>
    </w:p>
    <w:p w14:paraId="26FCD9AD" w14:textId="60EAEC31" w:rsidR="00E97866" w:rsidRPr="00EC141A" w:rsidRDefault="00EC141A" w:rsidP="00E97866">
      <w:pPr>
        <w:jc w:val="both"/>
        <w:rPr>
          <w:b/>
          <w:color w:val="0088C9"/>
          <w:sz w:val="28"/>
          <w:u w:val="single"/>
          <w:lang w:val="es-ES"/>
        </w:rPr>
      </w:pPr>
      <w:r w:rsidRPr="00EC141A">
        <w:rPr>
          <w:b/>
          <w:color w:val="0088C9"/>
          <w:sz w:val="28"/>
          <w:u w:val="single"/>
          <w:lang w:val="es-ES"/>
        </w:rPr>
        <w:t>Plazos contractuales finalizando durante un estado de emergencia</w:t>
      </w:r>
    </w:p>
    <w:p w14:paraId="5DFBF111" w14:textId="0E27775F" w:rsidR="00EC141A" w:rsidRPr="00EC141A" w:rsidRDefault="00EC141A" w:rsidP="00EC141A">
      <w:pPr>
        <w:jc w:val="both"/>
        <w:rPr>
          <w:lang w:val="es-ES"/>
        </w:rPr>
      </w:pPr>
      <w:r>
        <w:rPr>
          <w:lang w:val="es-ES"/>
        </w:rPr>
        <w:t>En</w:t>
      </w:r>
      <w:r w:rsidRPr="00EC141A">
        <w:rPr>
          <w:lang w:val="es-ES"/>
        </w:rPr>
        <w:t xml:space="preserve"> principio, los plazos contractuales permanecen inalterados y, por consiguiente, cada situación debe analizarse cuidadosamente para establecer si puede invocarse alguno de los siguientes mecanismos, ya sea para evitar el incumplimiento o para mitigar las consecuencias de dicho incumplimiento.</w:t>
      </w:r>
    </w:p>
    <w:p w14:paraId="4AC5A138" w14:textId="5AB68D9D" w:rsidR="00772402" w:rsidRPr="00EC141A" w:rsidRDefault="00EC141A" w:rsidP="00EC141A">
      <w:pPr>
        <w:jc w:val="both"/>
        <w:rPr>
          <w:lang w:val="es-ES"/>
        </w:rPr>
      </w:pPr>
      <w:r w:rsidRPr="00EC141A">
        <w:rPr>
          <w:lang w:val="es-ES"/>
        </w:rPr>
        <w:t xml:space="preserve">No obstante, entre las medidas de emergencia adoptadas por el Gobierno mediante la Ordenanza de 25 de marzo de 2020, figura la prórroga de determinados plazos (Ordenanza </w:t>
      </w:r>
      <w:proofErr w:type="spellStart"/>
      <w:r w:rsidRPr="00EC141A">
        <w:rPr>
          <w:lang w:val="es-ES"/>
        </w:rPr>
        <w:t>Nº</w:t>
      </w:r>
      <w:proofErr w:type="spellEnd"/>
      <w:r w:rsidRPr="00EC141A">
        <w:rPr>
          <w:lang w:val="es-ES"/>
        </w:rPr>
        <w:t xml:space="preserve"> 2020-306, de 25 de marzo de 2020, </w:t>
      </w:r>
      <w:r w:rsidRPr="00EC141A">
        <w:rPr>
          <w:i/>
          <w:iCs/>
          <w:lang w:val="es-ES"/>
        </w:rPr>
        <w:t>relativa a la prórroga de los plazos durante el período de emergencia sanitaria y la adaptación de los procedimientos durante el mismo período</w:t>
      </w:r>
      <w:r w:rsidRPr="00EC141A">
        <w:rPr>
          <w:lang w:val="es-ES"/>
        </w:rPr>
        <w:t xml:space="preserve">). Cuando su propósito es castigar el incumplimiento de una obligación en un plazo determinado, </w:t>
      </w:r>
      <w:r>
        <w:rPr>
          <w:lang w:val="es-ES"/>
        </w:rPr>
        <w:t>se afecta las siguientes cláusulas</w:t>
      </w:r>
      <w:r w:rsidRPr="00EC141A">
        <w:rPr>
          <w:lang w:val="es-ES"/>
        </w:rPr>
        <w:t>:</w:t>
      </w:r>
    </w:p>
    <w:p w14:paraId="03C96016" w14:textId="3EA51E4F" w:rsidR="00EC141A" w:rsidRDefault="00EC141A" w:rsidP="00435EED">
      <w:pPr>
        <w:pStyle w:val="Paragraphedeliste"/>
        <w:numPr>
          <w:ilvl w:val="0"/>
          <w:numId w:val="17"/>
        </w:numPr>
        <w:jc w:val="both"/>
        <w:rPr>
          <w:lang w:val="es-ES"/>
        </w:rPr>
      </w:pPr>
      <w:r>
        <w:rPr>
          <w:lang w:val="es-ES"/>
        </w:rPr>
        <w:t>multas coercitivas</w:t>
      </w:r>
      <w:r w:rsidRPr="00EC141A">
        <w:rPr>
          <w:lang w:val="es-ES"/>
        </w:rPr>
        <w:t>;</w:t>
      </w:r>
    </w:p>
    <w:p w14:paraId="6BEE34B6" w14:textId="386610F3" w:rsidR="00EC141A" w:rsidRDefault="00EC141A" w:rsidP="00F877BD">
      <w:pPr>
        <w:pStyle w:val="Paragraphedeliste"/>
        <w:numPr>
          <w:ilvl w:val="0"/>
          <w:numId w:val="17"/>
        </w:numPr>
        <w:jc w:val="both"/>
        <w:rPr>
          <w:lang w:val="es-ES"/>
        </w:rPr>
      </w:pPr>
      <w:r w:rsidRPr="00EC141A">
        <w:rPr>
          <w:lang w:val="es-ES"/>
        </w:rPr>
        <w:t xml:space="preserve">cláusulas </w:t>
      </w:r>
      <w:r>
        <w:rPr>
          <w:lang w:val="es-ES"/>
        </w:rPr>
        <w:t>penales</w:t>
      </w:r>
      <w:r w:rsidRPr="00EC141A">
        <w:rPr>
          <w:lang w:val="es-ES"/>
        </w:rPr>
        <w:t>;</w:t>
      </w:r>
    </w:p>
    <w:p w14:paraId="5C159582" w14:textId="4CD0D540" w:rsidR="00EC141A" w:rsidRDefault="00EC141A" w:rsidP="004C46F9">
      <w:pPr>
        <w:pStyle w:val="Paragraphedeliste"/>
        <w:numPr>
          <w:ilvl w:val="0"/>
          <w:numId w:val="17"/>
        </w:numPr>
        <w:jc w:val="both"/>
        <w:rPr>
          <w:lang w:val="es-ES"/>
        </w:rPr>
      </w:pPr>
      <w:r w:rsidRPr="00EC141A">
        <w:rPr>
          <w:lang w:val="es-ES"/>
        </w:rPr>
        <w:t>cláusulas resolutorias;</w:t>
      </w:r>
    </w:p>
    <w:p w14:paraId="55A9AA3A" w14:textId="588C7CEA" w:rsidR="00EC141A" w:rsidRPr="00EC141A" w:rsidRDefault="00EC141A" w:rsidP="004C46F9">
      <w:pPr>
        <w:pStyle w:val="Paragraphedeliste"/>
        <w:numPr>
          <w:ilvl w:val="0"/>
          <w:numId w:val="17"/>
        </w:numPr>
        <w:jc w:val="both"/>
        <w:rPr>
          <w:lang w:val="es-ES"/>
        </w:rPr>
      </w:pPr>
      <w:r w:rsidRPr="00EC141A">
        <w:rPr>
          <w:lang w:val="es-ES"/>
        </w:rPr>
        <w:t xml:space="preserve">cualquier cláusula que prevea </w:t>
      </w:r>
      <w:r>
        <w:rPr>
          <w:lang w:val="es-ES"/>
        </w:rPr>
        <w:t>una caducidad</w:t>
      </w:r>
      <w:r w:rsidRPr="00EC141A">
        <w:rPr>
          <w:lang w:val="es-ES"/>
        </w:rPr>
        <w:t>.</w:t>
      </w:r>
    </w:p>
    <w:p w14:paraId="74EC485E" w14:textId="1ED94B3E" w:rsidR="00772402" w:rsidRPr="00EC141A" w:rsidRDefault="00EC141A" w:rsidP="00EC141A">
      <w:pPr>
        <w:jc w:val="both"/>
        <w:rPr>
          <w:lang w:val="es-ES"/>
        </w:rPr>
      </w:pPr>
      <w:r w:rsidRPr="00EC141A">
        <w:rPr>
          <w:lang w:val="es-ES"/>
        </w:rPr>
        <w:t xml:space="preserve">Cuando estos plazos expiran durante un estado de emergencia sanitaria, sus efectos se aplazan por lo tanto a un mes a partir del final </w:t>
      </w:r>
      <w:r>
        <w:rPr>
          <w:lang w:val="es-ES"/>
        </w:rPr>
        <w:t>de dicho periodo de emergencia</w:t>
      </w:r>
      <w:r w:rsidRPr="00EC141A">
        <w:rPr>
          <w:lang w:val="es-ES"/>
        </w:rPr>
        <w:t xml:space="preserve"> (artículo 4 de la mencionada Ordenanza).</w:t>
      </w:r>
    </w:p>
    <w:p w14:paraId="0B2818AE" w14:textId="6B2C633E" w:rsidR="00471B81" w:rsidRPr="00EC141A" w:rsidRDefault="00EC141A" w:rsidP="00471B81">
      <w:pPr>
        <w:pBdr>
          <w:top w:val="single" w:sz="4" w:space="1" w:color="auto"/>
          <w:left w:val="single" w:sz="4" w:space="4" w:color="auto"/>
          <w:bottom w:val="single" w:sz="4" w:space="1" w:color="auto"/>
          <w:right w:val="single" w:sz="4" w:space="4" w:color="auto"/>
        </w:pBdr>
        <w:jc w:val="both"/>
        <w:rPr>
          <w:bCs/>
          <w:i/>
          <w:iCs/>
          <w:color w:val="0088C9"/>
          <w:lang w:val="es-ES"/>
        </w:rPr>
      </w:pPr>
      <w:r>
        <w:rPr>
          <w:b/>
          <w:i/>
          <w:iCs/>
          <w:color w:val="0088C9"/>
          <w:u w:val="single"/>
          <w:lang w:val="es-ES"/>
        </w:rPr>
        <w:lastRenderedPageBreak/>
        <w:t>Cuidado</w:t>
      </w:r>
      <w:r w:rsidR="00471B81" w:rsidRPr="00EC141A">
        <w:rPr>
          <w:bCs/>
          <w:i/>
          <w:iCs/>
          <w:color w:val="0088C9"/>
          <w:lang w:val="es-ES"/>
        </w:rPr>
        <w:t xml:space="preserve">: </w:t>
      </w:r>
      <w:r w:rsidRPr="00EC141A">
        <w:rPr>
          <w:bCs/>
          <w:i/>
          <w:iCs/>
          <w:color w:val="0088C9"/>
          <w:lang w:val="es-ES"/>
        </w:rPr>
        <w:t>se especifica que los mecanismos descritos a continuación son aplicables a los contratos celebrados a partir del 1 de octubre de 2016.</w:t>
      </w:r>
      <w:bookmarkStart w:id="0" w:name="_GoBack"/>
      <w:bookmarkEnd w:id="0"/>
    </w:p>
    <w:p w14:paraId="1C71184F" w14:textId="21513DE9" w:rsidR="00471B81" w:rsidRPr="00EC141A" w:rsidRDefault="00EC141A" w:rsidP="00471B81">
      <w:pPr>
        <w:pBdr>
          <w:top w:val="single" w:sz="4" w:space="1" w:color="auto"/>
          <w:left w:val="single" w:sz="4" w:space="4" w:color="auto"/>
          <w:bottom w:val="single" w:sz="4" w:space="1" w:color="auto"/>
          <w:right w:val="single" w:sz="4" w:space="4" w:color="auto"/>
        </w:pBdr>
        <w:jc w:val="both"/>
        <w:rPr>
          <w:b/>
          <w:i/>
          <w:iCs/>
          <w:color w:val="0088C9"/>
          <w:u w:val="single"/>
          <w:lang w:val="es-ES"/>
        </w:rPr>
      </w:pPr>
      <w:r w:rsidRPr="00EC141A">
        <w:rPr>
          <w:b/>
          <w:i/>
          <w:iCs/>
          <w:color w:val="0088C9"/>
          <w:u w:val="single"/>
          <w:lang w:val="es-ES"/>
        </w:rPr>
        <w:t xml:space="preserve">Es </w:t>
      </w:r>
      <w:r>
        <w:rPr>
          <w:b/>
          <w:i/>
          <w:iCs/>
          <w:color w:val="0088C9"/>
          <w:u w:val="single"/>
          <w:lang w:val="es-ES"/>
        </w:rPr>
        <w:t>imprescindible</w:t>
      </w:r>
      <w:r w:rsidRPr="00EC141A">
        <w:rPr>
          <w:b/>
          <w:i/>
          <w:iCs/>
          <w:color w:val="0088C9"/>
          <w:u w:val="single"/>
          <w:lang w:val="es-ES"/>
        </w:rPr>
        <w:t xml:space="preserve"> examinar detalladamente la posibilidad de utilizar esos mecanismos jurídicos para los contratos concertados antes de esa fecha.</w:t>
      </w:r>
    </w:p>
    <w:p w14:paraId="1B39957A" w14:textId="1C77FE2F" w:rsidR="00471B81" w:rsidRPr="00EC141A" w:rsidRDefault="00471B81" w:rsidP="00772402">
      <w:pPr>
        <w:jc w:val="both"/>
        <w:rPr>
          <w:b/>
          <w:color w:val="0088C9"/>
          <w:sz w:val="14"/>
          <w:szCs w:val="10"/>
          <w:u w:val="single"/>
          <w:lang w:val="es-ES"/>
        </w:rPr>
      </w:pPr>
    </w:p>
    <w:p w14:paraId="56B9534B" w14:textId="16908CFC" w:rsidR="00471B81" w:rsidRPr="00EC141A" w:rsidRDefault="00EC141A" w:rsidP="00471B81">
      <w:pPr>
        <w:pBdr>
          <w:top w:val="single" w:sz="4" w:space="1" w:color="auto"/>
          <w:left w:val="single" w:sz="4" w:space="4" w:color="auto"/>
          <w:bottom w:val="single" w:sz="4" w:space="1" w:color="auto"/>
          <w:right w:val="single" w:sz="4" w:space="4" w:color="auto"/>
        </w:pBdr>
        <w:jc w:val="both"/>
        <w:rPr>
          <w:bCs/>
          <w:i/>
          <w:iCs/>
          <w:color w:val="0088C9"/>
          <w:lang w:val="es-ES"/>
        </w:rPr>
      </w:pPr>
      <w:r>
        <w:rPr>
          <w:b/>
          <w:i/>
          <w:iCs/>
          <w:color w:val="0088C9"/>
          <w:u w:val="single"/>
          <w:lang w:val="es-ES"/>
        </w:rPr>
        <w:t>Cuidado</w:t>
      </w:r>
      <w:r w:rsidR="00471B81" w:rsidRPr="00EC141A">
        <w:rPr>
          <w:bCs/>
          <w:i/>
          <w:iCs/>
          <w:color w:val="0088C9"/>
          <w:lang w:val="es-ES"/>
        </w:rPr>
        <w:t xml:space="preserve">: </w:t>
      </w:r>
      <w:r w:rsidRPr="00EC141A">
        <w:rPr>
          <w:bCs/>
          <w:i/>
          <w:iCs/>
          <w:color w:val="0088C9"/>
          <w:lang w:val="es-ES"/>
        </w:rPr>
        <w:t>Dado que las consecuencias del uso indebido de estos mecanismos pueden ser muy graves, se aconseja encarecidamente que se solicite la asistencia de un profesional del derecho.</w:t>
      </w:r>
    </w:p>
    <w:p w14:paraId="425F2272" w14:textId="77777777" w:rsidR="00471B81" w:rsidRPr="00EC141A" w:rsidRDefault="00471B81" w:rsidP="00772402">
      <w:pPr>
        <w:jc w:val="both"/>
        <w:rPr>
          <w:b/>
          <w:color w:val="0088C9"/>
          <w:sz w:val="28"/>
          <w:u w:val="single"/>
          <w:lang w:val="es-ES"/>
        </w:rPr>
      </w:pPr>
    </w:p>
    <w:p w14:paraId="08BE37CD" w14:textId="3571DF1F" w:rsidR="00772402" w:rsidRPr="00EC141A" w:rsidRDefault="00EC141A" w:rsidP="00772402">
      <w:pPr>
        <w:jc w:val="both"/>
        <w:rPr>
          <w:b/>
          <w:color w:val="0088C9"/>
          <w:sz w:val="28"/>
          <w:u w:val="single"/>
          <w:lang w:val="es-ES"/>
        </w:rPr>
      </w:pPr>
      <w:r>
        <w:rPr>
          <w:b/>
          <w:color w:val="0088C9"/>
          <w:sz w:val="28"/>
          <w:u w:val="single"/>
          <w:lang w:val="es-ES"/>
        </w:rPr>
        <w:t>¿Se puede invocar la Fuerza Mayor?</w:t>
      </w:r>
    </w:p>
    <w:p w14:paraId="55C82451" w14:textId="238A9F13" w:rsidR="000D6016" w:rsidRPr="00EC141A" w:rsidRDefault="00EC141A" w:rsidP="000D6016">
      <w:pPr>
        <w:pStyle w:val="Paragraphedeliste"/>
        <w:numPr>
          <w:ilvl w:val="0"/>
          <w:numId w:val="4"/>
        </w:numPr>
        <w:spacing w:after="120"/>
        <w:jc w:val="both"/>
        <w:rPr>
          <w:b/>
          <w:color w:val="0088C9"/>
          <w:sz w:val="24"/>
          <w:u w:val="single"/>
          <w:lang w:val="es-ES"/>
        </w:rPr>
      </w:pPr>
      <w:r>
        <w:rPr>
          <w:b/>
          <w:color w:val="0088C9"/>
          <w:sz w:val="24"/>
          <w:u w:val="single"/>
          <w:lang w:val="es-ES"/>
        </w:rPr>
        <w:t>¿</w:t>
      </w:r>
      <w:r w:rsidR="000D6016" w:rsidRPr="00EC141A">
        <w:rPr>
          <w:b/>
          <w:color w:val="0088C9"/>
          <w:sz w:val="24"/>
          <w:u w:val="single"/>
          <w:lang w:val="es-ES"/>
        </w:rPr>
        <w:t>Qu</w:t>
      </w:r>
      <w:r>
        <w:rPr>
          <w:b/>
          <w:color w:val="0088C9"/>
          <w:sz w:val="24"/>
          <w:u w:val="single"/>
          <w:lang w:val="es-ES"/>
        </w:rPr>
        <w:t>é cubre la figura de la Fuerza Mayor</w:t>
      </w:r>
      <w:r w:rsidR="000D6016" w:rsidRPr="00EC141A">
        <w:rPr>
          <w:b/>
          <w:color w:val="0088C9"/>
          <w:sz w:val="24"/>
          <w:u w:val="single"/>
          <w:lang w:val="es-ES"/>
        </w:rPr>
        <w:t>?</w:t>
      </w:r>
    </w:p>
    <w:p w14:paraId="09D47D31" w14:textId="221B7620" w:rsidR="00772402" w:rsidRPr="00EC141A" w:rsidRDefault="00EC141A" w:rsidP="00772402">
      <w:pPr>
        <w:jc w:val="both"/>
        <w:rPr>
          <w:lang w:val="es-ES"/>
        </w:rPr>
      </w:pPr>
      <w:r w:rsidRPr="00EC141A">
        <w:rPr>
          <w:lang w:val="es-ES"/>
        </w:rPr>
        <w:t>La fuerza mayor se define en el artículo 1218 del Código Civil como un evento</w:t>
      </w:r>
      <w:r w:rsidR="000D6016" w:rsidRPr="00EC141A">
        <w:rPr>
          <w:lang w:val="es-ES"/>
        </w:rPr>
        <w:t xml:space="preserve"> « </w:t>
      </w:r>
      <w:r w:rsidR="000D6016" w:rsidRPr="00EC141A">
        <w:rPr>
          <w:b/>
          <w:bCs/>
          <w:lang w:val="es-ES"/>
        </w:rPr>
        <w:t xml:space="preserve">[1] </w:t>
      </w:r>
      <w:r>
        <w:rPr>
          <w:bCs/>
          <w:i/>
          <w:iCs/>
          <w:color w:val="0088C9"/>
          <w:u w:val="single"/>
          <w:lang w:val="es-ES"/>
        </w:rPr>
        <w:t>que no puede controlar el deudor</w:t>
      </w:r>
      <w:r w:rsidR="000D6016" w:rsidRPr="00EC141A">
        <w:rPr>
          <w:bCs/>
          <w:i/>
          <w:iCs/>
          <w:lang w:val="es-ES"/>
        </w:rPr>
        <w:t xml:space="preserve"> </w:t>
      </w:r>
      <w:r w:rsidR="000D6016" w:rsidRPr="00EC141A">
        <w:rPr>
          <w:b/>
          <w:lang w:val="es-ES"/>
        </w:rPr>
        <w:t>[2]</w:t>
      </w:r>
      <w:r w:rsidR="000D6016" w:rsidRPr="00EC141A">
        <w:rPr>
          <w:bCs/>
          <w:i/>
          <w:iCs/>
          <w:lang w:val="es-ES"/>
        </w:rPr>
        <w:t xml:space="preserve"> </w:t>
      </w:r>
      <w:r w:rsidRPr="00EC141A">
        <w:rPr>
          <w:bCs/>
          <w:i/>
          <w:iCs/>
          <w:color w:val="0088C9"/>
          <w:u w:val="single"/>
          <w:lang w:val="es-ES"/>
        </w:rPr>
        <w:t xml:space="preserve">que no podía preverse razonablemente en el momento de la celebración del contrato </w:t>
      </w:r>
      <w:r>
        <w:rPr>
          <w:bCs/>
          <w:i/>
          <w:iCs/>
          <w:color w:val="0088C9"/>
          <w:u w:val="single"/>
          <w:lang w:val="es-ES"/>
        </w:rPr>
        <w:t>y</w:t>
      </w:r>
      <w:r w:rsidR="000D6016" w:rsidRPr="00EC141A">
        <w:rPr>
          <w:bCs/>
          <w:i/>
          <w:iCs/>
          <w:lang w:val="es-ES"/>
        </w:rPr>
        <w:t xml:space="preserve"> </w:t>
      </w:r>
      <w:r w:rsidR="000D6016" w:rsidRPr="00EC141A">
        <w:rPr>
          <w:b/>
          <w:lang w:val="es-ES"/>
        </w:rPr>
        <w:t>[3]</w:t>
      </w:r>
      <w:r w:rsidR="000D6016" w:rsidRPr="00EC141A">
        <w:rPr>
          <w:bCs/>
          <w:i/>
          <w:iCs/>
          <w:lang w:val="es-ES"/>
        </w:rPr>
        <w:t xml:space="preserve"> </w:t>
      </w:r>
      <w:r w:rsidRPr="00EC141A">
        <w:rPr>
          <w:bCs/>
          <w:i/>
          <w:iCs/>
          <w:color w:val="0088C9"/>
          <w:u w:val="single"/>
          <w:lang w:val="es-ES"/>
        </w:rPr>
        <w:t xml:space="preserve">cuyos efectos no pueden evitarse con medidas apropiadas </w:t>
      </w:r>
      <w:r w:rsidR="000D6016" w:rsidRPr="00EC141A">
        <w:rPr>
          <w:lang w:val="es-ES"/>
        </w:rPr>
        <w:t>».</w:t>
      </w:r>
    </w:p>
    <w:p w14:paraId="6D53DED3" w14:textId="0FA018CD" w:rsidR="000D6016" w:rsidRPr="00EC141A" w:rsidRDefault="00EC141A" w:rsidP="00772402">
      <w:pPr>
        <w:jc w:val="both"/>
        <w:rPr>
          <w:lang w:val="es-ES"/>
        </w:rPr>
      </w:pPr>
      <w:r>
        <w:rPr>
          <w:lang w:val="es-ES"/>
        </w:rPr>
        <w:t>Entonces existen tres condiciones</w:t>
      </w:r>
      <w:r w:rsidR="000D6016" w:rsidRPr="00EC141A">
        <w:rPr>
          <w:lang w:val="es-ES"/>
        </w:rPr>
        <w:t>:</w:t>
      </w:r>
    </w:p>
    <w:p w14:paraId="7EB8A00B" w14:textId="2D1DCB21" w:rsidR="000D6016" w:rsidRPr="00EC141A" w:rsidRDefault="00EC141A" w:rsidP="000D6016">
      <w:pPr>
        <w:pStyle w:val="Paragraphedeliste"/>
        <w:numPr>
          <w:ilvl w:val="0"/>
          <w:numId w:val="14"/>
        </w:numPr>
        <w:jc w:val="both"/>
        <w:rPr>
          <w:lang w:val="es-ES"/>
        </w:rPr>
      </w:pPr>
      <w:r>
        <w:rPr>
          <w:lang w:val="es-ES"/>
        </w:rPr>
        <w:t>exterioridad</w:t>
      </w:r>
      <w:r w:rsidR="000D6016" w:rsidRPr="00EC141A">
        <w:rPr>
          <w:lang w:val="es-ES"/>
        </w:rPr>
        <w:t xml:space="preserve"> [1];</w:t>
      </w:r>
    </w:p>
    <w:p w14:paraId="62F06BDE" w14:textId="70E21A74" w:rsidR="000D6016" w:rsidRPr="00EC141A" w:rsidRDefault="00EC141A" w:rsidP="000D6016">
      <w:pPr>
        <w:pStyle w:val="Paragraphedeliste"/>
        <w:numPr>
          <w:ilvl w:val="0"/>
          <w:numId w:val="14"/>
        </w:numPr>
        <w:jc w:val="both"/>
        <w:rPr>
          <w:lang w:val="es-ES"/>
        </w:rPr>
      </w:pPr>
      <w:r>
        <w:rPr>
          <w:lang w:val="es-ES"/>
        </w:rPr>
        <w:t>imprevisibilidad</w:t>
      </w:r>
      <w:r w:rsidR="000D6016" w:rsidRPr="00EC141A">
        <w:rPr>
          <w:lang w:val="es-ES"/>
        </w:rPr>
        <w:t xml:space="preserve"> [2];</w:t>
      </w:r>
    </w:p>
    <w:p w14:paraId="5BC25F35" w14:textId="56721024" w:rsidR="000D6016" w:rsidRPr="00EC141A" w:rsidRDefault="00EC141A" w:rsidP="000D6016">
      <w:pPr>
        <w:pStyle w:val="Paragraphedeliste"/>
        <w:numPr>
          <w:ilvl w:val="0"/>
          <w:numId w:val="14"/>
        </w:numPr>
        <w:jc w:val="both"/>
        <w:rPr>
          <w:lang w:val="es-ES"/>
        </w:rPr>
      </w:pPr>
      <w:r>
        <w:rPr>
          <w:lang w:val="es-ES"/>
        </w:rPr>
        <w:t>irresistibilidad</w:t>
      </w:r>
      <w:r w:rsidR="000D6016" w:rsidRPr="00EC141A">
        <w:rPr>
          <w:lang w:val="es-ES"/>
        </w:rPr>
        <w:t xml:space="preserve"> [</w:t>
      </w:r>
      <w:r w:rsidR="00855944" w:rsidRPr="00EC141A">
        <w:rPr>
          <w:lang w:val="es-ES"/>
        </w:rPr>
        <w:t>3</w:t>
      </w:r>
      <w:r w:rsidR="000D6016" w:rsidRPr="00EC141A">
        <w:rPr>
          <w:lang w:val="es-ES"/>
        </w:rPr>
        <w:t>].</w:t>
      </w:r>
    </w:p>
    <w:p w14:paraId="763B39FE" w14:textId="565A83D1" w:rsidR="000D6016" w:rsidRPr="00EC141A" w:rsidRDefault="00EC141A" w:rsidP="00772402">
      <w:pPr>
        <w:jc w:val="both"/>
        <w:rPr>
          <w:lang w:val="es-ES"/>
        </w:rPr>
      </w:pPr>
      <w:r w:rsidRPr="00EC141A">
        <w:rPr>
          <w:lang w:val="es-ES"/>
        </w:rPr>
        <w:t>Cada situación debe analizarse en detalle para determinar si se cumplen esas condiciones, ya sea para la propia pandemia (en el caso de enfermedad de una persona física, por ejemplo) o para las medidas de contención obligatorias.</w:t>
      </w:r>
    </w:p>
    <w:p w14:paraId="3DAE9E9C" w14:textId="77777777" w:rsidR="00C07553" w:rsidRPr="00EC141A" w:rsidRDefault="00C07553" w:rsidP="00772402">
      <w:pPr>
        <w:jc w:val="both"/>
        <w:rPr>
          <w:lang w:val="es-ES"/>
        </w:rPr>
      </w:pPr>
    </w:p>
    <w:p w14:paraId="79217B2A" w14:textId="3A0BCAFC" w:rsidR="000D6016" w:rsidRPr="00EC141A" w:rsidRDefault="00EC141A" w:rsidP="000D6016">
      <w:pPr>
        <w:pStyle w:val="Paragraphedeliste"/>
        <w:numPr>
          <w:ilvl w:val="0"/>
          <w:numId w:val="4"/>
        </w:numPr>
        <w:spacing w:after="120"/>
        <w:jc w:val="both"/>
        <w:rPr>
          <w:b/>
          <w:color w:val="0088C9"/>
          <w:sz w:val="24"/>
          <w:u w:val="single"/>
          <w:lang w:val="es-ES"/>
        </w:rPr>
      </w:pPr>
      <w:r>
        <w:rPr>
          <w:b/>
          <w:color w:val="0088C9"/>
          <w:sz w:val="24"/>
          <w:u w:val="single"/>
          <w:lang w:val="es-ES"/>
        </w:rPr>
        <w:t>¿Cuáles son los efectos de la Fuerza Mayor</w:t>
      </w:r>
      <w:r w:rsidR="000D6016" w:rsidRPr="00EC141A">
        <w:rPr>
          <w:b/>
          <w:color w:val="0088C9"/>
          <w:sz w:val="24"/>
          <w:u w:val="single"/>
          <w:lang w:val="es-ES"/>
        </w:rPr>
        <w:t>?</w:t>
      </w:r>
    </w:p>
    <w:p w14:paraId="29117A37" w14:textId="77777777" w:rsidR="00C07553" w:rsidRPr="00EC141A" w:rsidRDefault="00C07553" w:rsidP="000D6016">
      <w:pPr>
        <w:spacing w:after="120"/>
        <w:jc w:val="both"/>
        <w:rPr>
          <w:b/>
          <w:i/>
          <w:iCs/>
          <w:color w:val="0088C9"/>
          <w:szCs w:val="20"/>
          <w:u w:val="single"/>
          <w:lang w:val="es-ES"/>
        </w:rPr>
      </w:pPr>
    </w:p>
    <w:p w14:paraId="6E083C94" w14:textId="550108E8" w:rsidR="000D6016" w:rsidRPr="00EC141A" w:rsidRDefault="00EC141A" w:rsidP="000D6016">
      <w:pPr>
        <w:spacing w:after="120"/>
        <w:jc w:val="both"/>
        <w:rPr>
          <w:b/>
          <w:i/>
          <w:iCs/>
          <w:color w:val="0088C9"/>
          <w:szCs w:val="20"/>
          <w:u w:val="single"/>
          <w:lang w:val="es-ES"/>
        </w:rPr>
      </w:pPr>
      <w:r>
        <w:rPr>
          <w:b/>
          <w:i/>
          <w:iCs/>
          <w:color w:val="0088C9"/>
          <w:szCs w:val="20"/>
          <w:u w:val="single"/>
          <w:lang w:val="es-ES"/>
        </w:rPr>
        <w:t>En cuanto al</w:t>
      </w:r>
      <w:r w:rsidRPr="00EC141A">
        <w:rPr>
          <w:b/>
          <w:i/>
          <w:iCs/>
          <w:color w:val="0088C9"/>
          <w:szCs w:val="20"/>
          <w:u w:val="single"/>
          <w:lang w:val="es-ES"/>
        </w:rPr>
        <w:t xml:space="preserve"> deudor que no puede cumplir su obligación</w:t>
      </w:r>
      <w:r w:rsidR="000D6016" w:rsidRPr="00EC141A">
        <w:rPr>
          <w:b/>
          <w:i/>
          <w:iCs/>
          <w:color w:val="0088C9"/>
          <w:szCs w:val="20"/>
          <w:u w:val="single"/>
          <w:lang w:val="es-ES"/>
        </w:rPr>
        <w:t>:</w:t>
      </w:r>
    </w:p>
    <w:p w14:paraId="113A99B4" w14:textId="19C6C729" w:rsidR="000D6016" w:rsidRPr="00EC141A" w:rsidRDefault="00EC141A" w:rsidP="000D6016">
      <w:pPr>
        <w:spacing w:after="120"/>
        <w:jc w:val="both"/>
        <w:rPr>
          <w:bCs/>
          <w:szCs w:val="20"/>
          <w:lang w:val="es-ES"/>
        </w:rPr>
      </w:pPr>
      <w:r w:rsidRPr="00EC141A">
        <w:rPr>
          <w:bCs/>
          <w:szCs w:val="20"/>
          <w:lang w:val="es-ES"/>
        </w:rPr>
        <w:t>Hay que distinguir dos situaciones.</w:t>
      </w:r>
    </w:p>
    <w:p w14:paraId="0F2CEE2C" w14:textId="50295ACC" w:rsidR="000D6016" w:rsidRPr="00EC141A" w:rsidRDefault="00EC141A" w:rsidP="000D6016">
      <w:pPr>
        <w:pStyle w:val="Paragraphedeliste"/>
        <w:numPr>
          <w:ilvl w:val="0"/>
          <w:numId w:val="16"/>
        </w:numPr>
        <w:spacing w:after="120"/>
        <w:jc w:val="both"/>
        <w:rPr>
          <w:bCs/>
          <w:szCs w:val="20"/>
          <w:lang w:val="es-ES"/>
        </w:rPr>
      </w:pPr>
      <w:r w:rsidRPr="00EC141A">
        <w:rPr>
          <w:bCs/>
          <w:szCs w:val="20"/>
          <w:lang w:val="es-ES"/>
        </w:rPr>
        <w:t>O bien el impedimento es temporal (simple retraso), en cuyo caso se suspende la obligación del deudor.</w:t>
      </w:r>
      <w:r w:rsidR="000D6016" w:rsidRPr="00EC141A">
        <w:rPr>
          <w:bCs/>
          <w:szCs w:val="20"/>
          <w:lang w:val="es-ES"/>
        </w:rPr>
        <w:t>;</w:t>
      </w:r>
    </w:p>
    <w:p w14:paraId="563FCDBA" w14:textId="77777777" w:rsidR="000D6016" w:rsidRPr="00EC141A" w:rsidRDefault="000D6016" w:rsidP="000D6016">
      <w:pPr>
        <w:pStyle w:val="Paragraphedeliste"/>
        <w:spacing w:after="120"/>
        <w:jc w:val="both"/>
        <w:rPr>
          <w:bCs/>
          <w:szCs w:val="20"/>
          <w:lang w:val="es-ES"/>
        </w:rPr>
      </w:pPr>
    </w:p>
    <w:p w14:paraId="383F017D" w14:textId="60D4B75B" w:rsidR="000D6016" w:rsidRPr="00EC141A" w:rsidRDefault="00EC141A" w:rsidP="000D6016">
      <w:pPr>
        <w:pStyle w:val="Paragraphedeliste"/>
        <w:numPr>
          <w:ilvl w:val="0"/>
          <w:numId w:val="16"/>
        </w:numPr>
        <w:spacing w:after="120"/>
        <w:jc w:val="both"/>
        <w:rPr>
          <w:bCs/>
          <w:szCs w:val="20"/>
          <w:lang w:val="es-ES"/>
        </w:rPr>
      </w:pPr>
      <w:r w:rsidRPr="00EC141A">
        <w:rPr>
          <w:bCs/>
          <w:szCs w:val="20"/>
          <w:lang w:val="es-ES"/>
        </w:rPr>
        <w:t>2) O bien el impedimento es definitivo y el contrato queda rescindido automáticamente. Lo mismo ocurre si el impedimento es sólo temporal pero las consecuencias del retraso en la ejecución son tales que justifican dicha terminación.</w:t>
      </w:r>
    </w:p>
    <w:p w14:paraId="38BD107B" w14:textId="6A11F6FA" w:rsidR="000D6016" w:rsidRPr="00EC141A" w:rsidRDefault="00EC141A" w:rsidP="000D6016">
      <w:pPr>
        <w:spacing w:after="120"/>
        <w:jc w:val="both"/>
        <w:rPr>
          <w:bCs/>
          <w:szCs w:val="20"/>
          <w:lang w:val="es-ES"/>
        </w:rPr>
      </w:pPr>
      <w:r w:rsidRPr="00EC141A">
        <w:rPr>
          <w:bCs/>
          <w:szCs w:val="20"/>
          <w:lang w:val="es-ES"/>
        </w:rPr>
        <w:t>En cualquier caso, no se puede comprometer la responsabilidad contractual del deudor.</w:t>
      </w:r>
    </w:p>
    <w:p w14:paraId="5A4B39AA" w14:textId="77777777" w:rsidR="00855944" w:rsidRPr="00EC141A" w:rsidRDefault="00855944" w:rsidP="000D6016">
      <w:pPr>
        <w:spacing w:after="120"/>
        <w:jc w:val="both"/>
        <w:rPr>
          <w:b/>
          <w:i/>
          <w:iCs/>
          <w:color w:val="0088C9"/>
          <w:szCs w:val="20"/>
          <w:u w:val="single"/>
          <w:lang w:val="es-ES"/>
        </w:rPr>
      </w:pPr>
    </w:p>
    <w:p w14:paraId="201329E6" w14:textId="77777777" w:rsidR="00855944" w:rsidRPr="00EC141A" w:rsidRDefault="00855944" w:rsidP="000D6016">
      <w:pPr>
        <w:spacing w:after="120"/>
        <w:jc w:val="both"/>
        <w:rPr>
          <w:b/>
          <w:i/>
          <w:iCs/>
          <w:color w:val="0088C9"/>
          <w:szCs w:val="20"/>
          <w:u w:val="single"/>
          <w:lang w:val="es-ES"/>
        </w:rPr>
      </w:pPr>
    </w:p>
    <w:p w14:paraId="1A2947FF" w14:textId="29C910F7" w:rsidR="000D6016" w:rsidRPr="00EC141A" w:rsidRDefault="00EC141A" w:rsidP="000D6016">
      <w:pPr>
        <w:spacing w:after="120"/>
        <w:jc w:val="both"/>
        <w:rPr>
          <w:b/>
          <w:i/>
          <w:iCs/>
          <w:color w:val="0088C9"/>
          <w:szCs w:val="20"/>
          <w:u w:val="single"/>
          <w:lang w:val="es-ES"/>
        </w:rPr>
      </w:pPr>
      <w:r w:rsidRPr="00EC141A">
        <w:rPr>
          <w:b/>
          <w:i/>
          <w:iCs/>
          <w:color w:val="0088C9"/>
          <w:szCs w:val="20"/>
          <w:u w:val="single"/>
          <w:lang w:val="es-ES"/>
        </w:rPr>
        <w:lastRenderedPageBreak/>
        <w:t>En cuanto al acreedor al que se opone la Fuerza Mayor:</w:t>
      </w:r>
    </w:p>
    <w:p w14:paraId="5244BE43" w14:textId="55425679" w:rsidR="00EC141A" w:rsidRPr="00EC141A" w:rsidRDefault="00EC141A" w:rsidP="00EC141A">
      <w:pPr>
        <w:spacing w:after="120"/>
        <w:jc w:val="both"/>
        <w:rPr>
          <w:lang w:val="es-ES"/>
        </w:rPr>
      </w:pPr>
      <w:r w:rsidRPr="00EC141A">
        <w:rPr>
          <w:lang w:val="es-ES"/>
        </w:rPr>
        <w:t xml:space="preserve">En este caso, la verdadera dificultad surge cuando el impedimento no permite que el contrato sea rescindido </w:t>
      </w:r>
      <w:r>
        <w:rPr>
          <w:lang w:val="es-ES"/>
        </w:rPr>
        <w:t>automáticamente</w:t>
      </w:r>
      <w:r w:rsidRPr="00EC141A">
        <w:rPr>
          <w:lang w:val="es-ES"/>
        </w:rPr>
        <w:t xml:space="preserve"> (</w:t>
      </w:r>
      <w:r w:rsidRPr="00EC141A">
        <w:rPr>
          <w:i/>
          <w:iCs/>
          <w:lang w:val="es-ES"/>
        </w:rPr>
        <w:t>por ejemplo, el caso de un arrendatario en virtud de un contrato comercial en el que los locales son temporalmente inaccesibles</w:t>
      </w:r>
      <w:r w:rsidRPr="00EC141A">
        <w:rPr>
          <w:lang w:val="es-ES"/>
        </w:rPr>
        <w:t>).</w:t>
      </w:r>
    </w:p>
    <w:p w14:paraId="3243F379" w14:textId="77777777" w:rsidR="00EC141A" w:rsidRPr="00EC141A" w:rsidRDefault="00EC141A" w:rsidP="00EC141A">
      <w:pPr>
        <w:spacing w:after="120"/>
        <w:jc w:val="both"/>
        <w:rPr>
          <w:lang w:val="es-ES"/>
        </w:rPr>
      </w:pPr>
      <w:r w:rsidRPr="00EC141A">
        <w:rPr>
          <w:lang w:val="es-ES"/>
        </w:rPr>
        <w:t>¿Tiene el acreedor derecho a suspender el cumplimiento de su contraparte (alegato de incumplimiento)?</w:t>
      </w:r>
    </w:p>
    <w:p w14:paraId="73E02858" w14:textId="77777777" w:rsidR="00EC141A" w:rsidRPr="00EC141A" w:rsidRDefault="00EC141A" w:rsidP="00EC141A">
      <w:pPr>
        <w:spacing w:after="120"/>
        <w:jc w:val="both"/>
        <w:rPr>
          <w:lang w:val="es-ES"/>
        </w:rPr>
      </w:pPr>
      <w:r w:rsidRPr="00EC141A">
        <w:rPr>
          <w:lang w:val="es-ES"/>
        </w:rPr>
        <w:t>Es razonable creer que la obligación del acreedor también puede ser suspendida (ya que el incumplimiento del deudor priva al acreedor de toda consideración).</w:t>
      </w:r>
    </w:p>
    <w:p w14:paraId="7978AB6E" w14:textId="77777777" w:rsidR="00EC141A" w:rsidRPr="00EC141A" w:rsidRDefault="00EC141A" w:rsidP="00EC141A">
      <w:pPr>
        <w:spacing w:after="120"/>
        <w:jc w:val="both"/>
        <w:rPr>
          <w:lang w:val="es-ES"/>
        </w:rPr>
      </w:pPr>
      <w:r w:rsidRPr="00EC141A">
        <w:rPr>
          <w:lang w:val="es-ES"/>
        </w:rPr>
        <w:t>Por otra parte, el texto del Código Civil no permite decidir la cuestión con absoluta certeza.</w:t>
      </w:r>
    </w:p>
    <w:p w14:paraId="7DCFCE39" w14:textId="255597B8" w:rsidR="000D6016" w:rsidRPr="00EC141A" w:rsidRDefault="00EC141A" w:rsidP="00EC141A">
      <w:pPr>
        <w:spacing w:after="120"/>
        <w:jc w:val="both"/>
        <w:rPr>
          <w:lang w:val="es-ES"/>
        </w:rPr>
      </w:pPr>
      <w:r w:rsidRPr="00EC141A">
        <w:rPr>
          <w:lang w:val="es-ES"/>
        </w:rPr>
        <w:t>Por ello, en todos los casos habrá que realizar un examen detallado de la situación para evaluar el riesgo.</w:t>
      </w:r>
    </w:p>
    <w:p w14:paraId="2AAFED4D" w14:textId="31929B6B" w:rsidR="00150809" w:rsidRPr="00EC141A" w:rsidRDefault="00150809" w:rsidP="008055F1">
      <w:pPr>
        <w:jc w:val="both"/>
        <w:rPr>
          <w:b/>
          <w:color w:val="0088C9"/>
          <w:sz w:val="28"/>
          <w:u w:val="single"/>
          <w:lang w:val="es-ES"/>
        </w:rPr>
      </w:pPr>
    </w:p>
    <w:p w14:paraId="0BB4452E" w14:textId="1CBBC80B" w:rsidR="000D6016" w:rsidRPr="00EC141A" w:rsidRDefault="00EC141A" w:rsidP="000D6016">
      <w:pPr>
        <w:pBdr>
          <w:top w:val="single" w:sz="4" w:space="1" w:color="auto"/>
          <w:left w:val="single" w:sz="4" w:space="4" w:color="auto"/>
          <w:bottom w:val="single" w:sz="4" w:space="1" w:color="auto"/>
          <w:right w:val="single" w:sz="4" w:space="4" w:color="auto"/>
        </w:pBdr>
        <w:jc w:val="both"/>
        <w:rPr>
          <w:bCs/>
          <w:i/>
          <w:iCs/>
          <w:color w:val="0088C9"/>
          <w:lang w:val="es-ES"/>
        </w:rPr>
      </w:pPr>
      <w:r>
        <w:rPr>
          <w:b/>
          <w:i/>
          <w:iCs/>
          <w:color w:val="0088C9"/>
          <w:u w:val="single"/>
          <w:lang w:val="es-ES"/>
        </w:rPr>
        <w:t>Cuidado</w:t>
      </w:r>
      <w:r w:rsidR="000D6016" w:rsidRPr="00EC141A">
        <w:rPr>
          <w:bCs/>
          <w:i/>
          <w:iCs/>
          <w:color w:val="0088C9"/>
          <w:lang w:val="es-ES"/>
        </w:rPr>
        <w:t xml:space="preserve"> </w:t>
      </w:r>
      <w:r>
        <w:rPr>
          <w:bCs/>
          <w:i/>
          <w:iCs/>
          <w:color w:val="0088C9"/>
          <w:lang w:val="es-ES"/>
        </w:rPr>
        <w:t>con los</w:t>
      </w:r>
      <w:r w:rsidR="000D6016" w:rsidRPr="00EC141A">
        <w:rPr>
          <w:bCs/>
          <w:i/>
          <w:iCs/>
          <w:color w:val="0088C9"/>
          <w:lang w:val="es-ES"/>
        </w:rPr>
        <w:t xml:space="preserve"> </w:t>
      </w:r>
      <w:r w:rsidRPr="00EC141A">
        <w:rPr>
          <w:bCs/>
          <w:i/>
          <w:iCs/>
          <w:color w:val="0088C9"/>
          <w:lang w:val="es-ES"/>
        </w:rPr>
        <w:t>contratos firmados durante la pandemia ya que, en este caso, la pandemia no podía considerarse imprevisible en el momento de la firma del contrato. Así, el deudor se verá ciertamente privado del posible beneficio de la fuerza mayor.</w:t>
      </w:r>
    </w:p>
    <w:p w14:paraId="6061317C" w14:textId="77777777" w:rsidR="000D6016" w:rsidRPr="00EC141A" w:rsidRDefault="000D6016" w:rsidP="008055F1">
      <w:pPr>
        <w:jc w:val="both"/>
        <w:rPr>
          <w:b/>
          <w:color w:val="0088C9"/>
          <w:sz w:val="28"/>
          <w:u w:val="single"/>
          <w:lang w:val="es-ES"/>
        </w:rPr>
      </w:pPr>
    </w:p>
    <w:p w14:paraId="6F236175" w14:textId="04BB09B7" w:rsidR="008055F1" w:rsidRPr="00EC141A" w:rsidRDefault="00EC141A" w:rsidP="008055F1">
      <w:pPr>
        <w:jc w:val="both"/>
        <w:rPr>
          <w:b/>
          <w:color w:val="0088C9"/>
          <w:sz w:val="28"/>
          <w:u w:val="single"/>
          <w:lang w:val="es-ES"/>
        </w:rPr>
      </w:pPr>
      <w:r w:rsidRPr="00EC141A">
        <w:rPr>
          <w:b/>
          <w:color w:val="0088C9"/>
          <w:sz w:val="28"/>
          <w:u w:val="single"/>
          <w:lang w:val="es-ES"/>
        </w:rPr>
        <w:t>¿La teoría de la imprevisibilidad permite la renegociación?</w:t>
      </w:r>
    </w:p>
    <w:p w14:paraId="751DF842" w14:textId="06A63BE0" w:rsidR="00A25F7D" w:rsidRPr="00EC141A" w:rsidRDefault="00EC141A" w:rsidP="000D6016">
      <w:pPr>
        <w:jc w:val="both"/>
        <w:rPr>
          <w:lang w:val="es-ES"/>
        </w:rPr>
      </w:pPr>
      <w:r w:rsidRPr="00EC141A">
        <w:rPr>
          <w:lang w:val="es-ES"/>
        </w:rPr>
        <w:t>El artículo 1195 del Código Civil obliga a las partes a considerar la renegociación de las condiciones contractuales cuando se produzca "</w:t>
      </w:r>
      <w:r w:rsidRPr="00EC141A">
        <w:rPr>
          <w:i/>
          <w:iCs/>
          <w:lang w:val="es-ES"/>
        </w:rPr>
        <w:t>un cambio de circunstancias</w:t>
      </w:r>
      <w:r w:rsidRPr="00EC141A">
        <w:rPr>
          <w:lang w:val="es-ES"/>
        </w:rPr>
        <w:t>".</w:t>
      </w:r>
      <w:r w:rsidR="000D6016" w:rsidRPr="00EC141A">
        <w:rPr>
          <w:lang w:val="es-ES"/>
        </w:rPr>
        <w:t xml:space="preserve"> </w:t>
      </w:r>
      <w:r w:rsidR="000D6016" w:rsidRPr="00EC141A">
        <w:rPr>
          <w:b/>
          <w:bCs/>
          <w:lang w:val="es-ES"/>
        </w:rPr>
        <w:t>[1]</w:t>
      </w:r>
      <w:r w:rsidR="000D6016" w:rsidRPr="00EC141A">
        <w:rPr>
          <w:lang w:val="es-ES"/>
        </w:rPr>
        <w:t xml:space="preserve"> </w:t>
      </w:r>
      <w:r w:rsidRPr="00EC141A">
        <w:rPr>
          <w:bCs/>
          <w:i/>
          <w:iCs/>
          <w:color w:val="0088C9"/>
          <w:u w:val="single"/>
          <w:lang w:val="es-ES"/>
        </w:rPr>
        <w:t xml:space="preserve">impredecible </w:t>
      </w:r>
      <w:r w:rsidRPr="00EC141A">
        <w:rPr>
          <w:bCs/>
          <w:i/>
          <w:iCs/>
          <w:lang w:val="es-ES"/>
        </w:rPr>
        <w:t xml:space="preserve">al concluir el contrato </w:t>
      </w:r>
      <w:r w:rsidR="000D6016" w:rsidRPr="00EC141A">
        <w:rPr>
          <w:b/>
          <w:bCs/>
          <w:lang w:val="es-ES"/>
        </w:rPr>
        <w:t>[2]</w:t>
      </w:r>
      <w:r w:rsidR="000D6016" w:rsidRPr="00EC141A">
        <w:rPr>
          <w:lang w:val="es-ES"/>
        </w:rPr>
        <w:t xml:space="preserve"> [</w:t>
      </w:r>
      <w:r>
        <w:rPr>
          <w:lang w:val="es-ES"/>
        </w:rPr>
        <w:t>que</w:t>
      </w:r>
      <w:r w:rsidR="000D6016" w:rsidRPr="00EC141A">
        <w:rPr>
          <w:lang w:val="es-ES"/>
        </w:rPr>
        <w:t xml:space="preserve">] </w:t>
      </w:r>
      <w:r w:rsidRPr="00EC141A">
        <w:rPr>
          <w:bCs/>
          <w:i/>
          <w:iCs/>
          <w:color w:val="0088C9"/>
          <w:u w:val="single"/>
          <w:lang w:val="es-ES"/>
        </w:rPr>
        <w:t xml:space="preserve">hace que la </w:t>
      </w:r>
      <w:r>
        <w:rPr>
          <w:bCs/>
          <w:i/>
          <w:iCs/>
          <w:color w:val="0088C9"/>
          <w:u w:val="single"/>
          <w:lang w:val="es-ES"/>
        </w:rPr>
        <w:t>ejecución sea</w:t>
      </w:r>
      <w:r w:rsidRPr="00EC141A">
        <w:rPr>
          <w:bCs/>
          <w:i/>
          <w:iCs/>
          <w:color w:val="0088C9"/>
          <w:u w:val="single"/>
          <w:lang w:val="es-ES"/>
        </w:rPr>
        <w:t xml:space="preserve"> excesivamente onerosa para </w:t>
      </w:r>
      <w:r>
        <w:rPr>
          <w:bCs/>
          <w:i/>
          <w:iCs/>
          <w:color w:val="0088C9"/>
          <w:u w:val="single"/>
          <w:lang w:val="es-ES"/>
        </w:rPr>
        <w:t>el deudor</w:t>
      </w:r>
      <w:r w:rsidRPr="00EC141A">
        <w:rPr>
          <w:bCs/>
          <w:i/>
          <w:iCs/>
          <w:color w:val="0088C9"/>
          <w:u w:val="single"/>
          <w:lang w:val="es-ES"/>
        </w:rPr>
        <w:t xml:space="preserve"> </w:t>
      </w:r>
      <w:r w:rsidR="000D6016" w:rsidRPr="00EC141A">
        <w:rPr>
          <w:b/>
          <w:bCs/>
          <w:lang w:val="es-ES"/>
        </w:rPr>
        <w:t>[3]</w:t>
      </w:r>
      <w:r w:rsidR="000D6016" w:rsidRPr="00EC141A">
        <w:rPr>
          <w:i/>
          <w:iCs/>
          <w:lang w:val="es-ES"/>
        </w:rPr>
        <w:t xml:space="preserve"> </w:t>
      </w:r>
      <w:r>
        <w:rPr>
          <w:bCs/>
          <w:i/>
          <w:iCs/>
          <w:color w:val="0088C9"/>
          <w:u w:val="single"/>
          <w:lang w:val="es-ES"/>
        </w:rPr>
        <w:t>el cual</w:t>
      </w:r>
      <w:r w:rsidRPr="00EC141A">
        <w:rPr>
          <w:bCs/>
          <w:i/>
          <w:iCs/>
          <w:color w:val="0088C9"/>
          <w:u w:val="single"/>
          <w:lang w:val="es-ES"/>
        </w:rPr>
        <w:t xml:space="preserve"> no había aceptado correr el riesgo.</w:t>
      </w:r>
      <w:r w:rsidR="000D6016" w:rsidRPr="00EC141A">
        <w:rPr>
          <w:lang w:val="es-ES"/>
        </w:rPr>
        <w:t>»</w:t>
      </w:r>
      <w:r w:rsidR="00855944" w:rsidRPr="00EC141A">
        <w:rPr>
          <w:lang w:val="es-ES"/>
        </w:rPr>
        <w:t>.</w:t>
      </w:r>
    </w:p>
    <w:p w14:paraId="01F6055F" w14:textId="77777777" w:rsidR="00EC141A" w:rsidRPr="00EC141A" w:rsidRDefault="00EC141A" w:rsidP="00EC141A">
      <w:pPr>
        <w:jc w:val="both"/>
        <w:rPr>
          <w:lang w:val="es-ES"/>
        </w:rPr>
      </w:pPr>
      <w:r w:rsidRPr="00EC141A">
        <w:rPr>
          <w:lang w:val="es-ES"/>
        </w:rPr>
        <w:t>Siempre que se cumplan estas tres condiciones, la parte en dificultades podrá solicitar una renegociación a su cocontratante.</w:t>
      </w:r>
    </w:p>
    <w:p w14:paraId="43D6168E" w14:textId="5638C1E3" w:rsidR="000D6016" w:rsidRPr="00EC141A" w:rsidRDefault="00EC141A" w:rsidP="00EC141A">
      <w:pPr>
        <w:jc w:val="both"/>
        <w:rPr>
          <w:lang w:val="es-ES"/>
        </w:rPr>
      </w:pPr>
      <w:r w:rsidRPr="00EC141A">
        <w:rPr>
          <w:lang w:val="es-ES"/>
        </w:rPr>
        <w:t>En caso de rechazo o fracaso de dichas negociaciones, las partes podrán, de mutuo acuerdo, acordar :</w:t>
      </w:r>
    </w:p>
    <w:p w14:paraId="6B8326AE" w14:textId="0A5C1F84" w:rsidR="00EC141A" w:rsidRPr="00EC141A" w:rsidRDefault="00EC141A" w:rsidP="00EC141A">
      <w:pPr>
        <w:pStyle w:val="Paragraphedeliste"/>
        <w:numPr>
          <w:ilvl w:val="0"/>
          <w:numId w:val="14"/>
        </w:numPr>
        <w:jc w:val="both"/>
        <w:rPr>
          <w:lang w:val="es-ES"/>
        </w:rPr>
      </w:pPr>
      <w:r w:rsidRPr="00EC141A">
        <w:rPr>
          <w:lang w:val="es-ES"/>
        </w:rPr>
        <w:t xml:space="preserve">que el contrato se </w:t>
      </w:r>
      <w:r>
        <w:rPr>
          <w:lang w:val="es-ES"/>
        </w:rPr>
        <w:t>terminará</w:t>
      </w:r>
      <w:r w:rsidRPr="00EC141A">
        <w:rPr>
          <w:lang w:val="es-ES"/>
        </w:rPr>
        <w:t>;</w:t>
      </w:r>
    </w:p>
    <w:p w14:paraId="216FC983" w14:textId="77777777" w:rsidR="00EC141A" w:rsidRPr="00EC141A" w:rsidRDefault="00EC141A" w:rsidP="00EC141A">
      <w:pPr>
        <w:pStyle w:val="Paragraphedeliste"/>
        <w:jc w:val="both"/>
        <w:rPr>
          <w:lang w:val="es-ES"/>
        </w:rPr>
      </w:pPr>
    </w:p>
    <w:p w14:paraId="7F478A90" w14:textId="64181CFB" w:rsidR="000D6016" w:rsidRPr="00EC141A" w:rsidRDefault="00EC141A" w:rsidP="00EC141A">
      <w:pPr>
        <w:pStyle w:val="Paragraphedeliste"/>
        <w:numPr>
          <w:ilvl w:val="0"/>
          <w:numId w:val="14"/>
        </w:numPr>
        <w:jc w:val="both"/>
        <w:rPr>
          <w:lang w:val="es-ES"/>
        </w:rPr>
      </w:pPr>
      <w:r w:rsidRPr="00EC141A">
        <w:rPr>
          <w:lang w:val="es-ES"/>
        </w:rPr>
        <w:t>para pedirle al juez que decida</w:t>
      </w:r>
      <w:r w:rsidR="000D6016" w:rsidRPr="00EC141A">
        <w:rPr>
          <w:lang w:val="es-ES"/>
        </w:rPr>
        <w:t>.</w:t>
      </w:r>
    </w:p>
    <w:p w14:paraId="31C104C4" w14:textId="1378C36A" w:rsidR="00EC141A" w:rsidRPr="00EC141A" w:rsidRDefault="00EC141A" w:rsidP="00EC141A">
      <w:pPr>
        <w:jc w:val="both"/>
        <w:rPr>
          <w:lang w:val="es-ES"/>
        </w:rPr>
      </w:pPr>
      <w:r w:rsidRPr="00EC141A">
        <w:rPr>
          <w:lang w:val="es-ES"/>
        </w:rPr>
        <w:t>Por último, si no se llega a un acuerdo en un plazo razonable, la parte en dificultades puede pedir al juez que:</w:t>
      </w:r>
    </w:p>
    <w:p w14:paraId="54E0A300" w14:textId="6037844E" w:rsidR="00EC141A" w:rsidRPr="00EC141A" w:rsidRDefault="00EC141A" w:rsidP="00EC141A">
      <w:pPr>
        <w:pStyle w:val="Paragraphedeliste"/>
        <w:numPr>
          <w:ilvl w:val="0"/>
          <w:numId w:val="14"/>
        </w:numPr>
        <w:jc w:val="both"/>
        <w:rPr>
          <w:lang w:val="es-ES"/>
        </w:rPr>
      </w:pPr>
      <w:r w:rsidRPr="00EC141A">
        <w:rPr>
          <w:lang w:val="es-ES"/>
        </w:rPr>
        <w:t>revisar el contrato;</w:t>
      </w:r>
    </w:p>
    <w:p w14:paraId="48DA21FF" w14:textId="77777777" w:rsidR="00EC141A" w:rsidRPr="00EC141A" w:rsidRDefault="00EC141A" w:rsidP="00EC141A">
      <w:pPr>
        <w:pStyle w:val="Paragraphedeliste"/>
        <w:jc w:val="both"/>
        <w:rPr>
          <w:lang w:val="es-ES"/>
        </w:rPr>
      </w:pPr>
    </w:p>
    <w:p w14:paraId="6A10FB60" w14:textId="61FAAAB4" w:rsidR="000D6016" w:rsidRPr="00EC141A" w:rsidRDefault="00EC141A" w:rsidP="00EC141A">
      <w:pPr>
        <w:pStyle w:val="Paragraphedeliste"/>
        <w:numPr>
          <w:ilvl w:val="0"/>
          <w:numId w:val="14"/>
        </w:numPr>
        <w:jc w:val="both"/>
        <w:rPr>
          <w:lang w:val="es-ES"/>
        </w:rPr>
      </w:pPr>
      <w:r w:rsidRPr="00EC141A">
        <w:rPr>
          <w:lang w:val="es-ES"/>
        </w:rPr>
        <w:t>terminarlo de acuerdo con las fechas y condiciones que él establezca.</w:t>
      </w:r>
    </w:p>
    <w:p w14:paraId="294832CB" w14:textId="77777777" w:rsidR="000D6016" w:rsidRPr="00EC141A" w:rsidRDefault="000D6016" w:rsidP="000D6016">
      <w:pPr>
        <w:pStyle w:val="Paragraphedeliste"/>
        <w:rPr>
          <w:lang w:val="es-ES"/>
        </w:rPr>
      </w:pPr>
    </w:p>
    <w:p w14:paraId="60684A25" w14:textId="667529FA" w:rsidR="000D6016" w:rsidRPr="00EC141A" w:rsidRDefault="00EC141A" w:rsidP="000D6016">
      <w:pPr>
        <w:pBdr>
          <w:top w:val="single" w:sz="4" w:space="1" w:color="auto"/>
          <w:left w:val="single" w:sz="4" w:space="4" w:color="auto"/>
          <w:bottom w:val="single" w:sz="4" w:space="1" w:color="auto"/>
          <w:right w:val="single" w:sz="4" w:space="4" w:color="auto"/>
        </w:pBdr>
        <w:jc w:val="both"/>
        <w:rPr>
          <w:bCs/>
          <w:i/>
          <w:iCs/>
          <w:color w:val="0088C9"/>
          <w:lang w:val="es-ES"/>
        </w:rPr>
      </w:pPr>
      <w:r>
        <w:rPr>
          <w:b/>
          <w:i/>
          <w:iCs/>
          <w:color w:val="0088C9"/>
          <w:u w:val="single"/>
          <w:lang w:val="es-ES"/>
        </w:rPr>
        <w:lastRenderedPageBreak/>
        <w:t>Cuidado</w:t>
      </w:r>
      <w:r w:rsidR="000D6016" w:rsidRPr="00EC141A">
        <w:rPr>
          <w:bCs/>
          <w:i/>
          <w:iCs/>
          <w:color w:val="0088C9"/>
          <w:lang w:val="es-ES"/>
        </w:rPr>
        <w:t xml:space="preserve"> </w:t>
      </w:r>
      <w:r>
        <w:rPr>
          <w:bCs/>
          <w:i/>
          <w:iCs/>
          <w:color w:val="0088C9"/>
          <w:lang w:val="es-ES"/>
        </w:rPr>
        <w:t>con los</w:t>
      </w:r>
      <w:r w:rsidR="000D6016" w:rsidRPr="00EC141A">
        <w:rPr>
          <w:bCs/>
          <w:i/>
          <w:iCs/>
          <w:color w:val="0088C9"/>
          <w:lang w:val="es-ES"/>
        </w:rPr>
        <w:t xml:space="preserve"> </w:t>
      </w:r>
      <w:r w:rsidRPr="00EC141A">
        <w:rPr>
          <w:bCs/>
          <w:i/>
          <w:iCs/>
          <w:color w:val="0088C9"/>
          <w:lang w:val="es-ES"/>
        </w:rPr>
        <w:t>contratos firmados durante la pandemia ya que, en este caso, la pandemia no podía considerarse imprevisible en el momento de la firma del contrato. Así, el deudor se verá ciertamente privado del posible beneficio de lo imprevisible</w:t>
      </w:r>
      <w:r w:rsidR="000D6016" w:rsidRPr="00EC141A">
        <w:rPr>
          <w:bCs/>
          <w:i/>
          <w:iCs/>
          <w:color w:val="0088C9"/>
          <w:lang w:val="es-ES"/>
        </w:rPr>
        <w:t>.</w:t>
      </w:r>
    </w:p>
    <w:p w14:paraId="11028BDF" w14:textId="77777777" w:rsidR="000D6016" w:rsidRPr="00EC141A" w:rsidRDefault="000D6016" w:rsidP="000D6016">
      <w:pPr>
        <w:jc w:val="both"/>
        <w:rPr>
          <w:b/>
          <w:color w:val="0088C9"/>
          <w:sz w:val="28"/>
          <w:u w:val="single"/>
          <w:lang w:val="es-ES"/>
        </w:rPr>
      </w:pPr>
    </w:p>
    <w:p w14:paraId="6B8D8493" w14:textId="7636DA06" w:rsidR="000D6016" w:rsidRPr="00EC141A" w:rsidRDefault="00EC141A" w:rsidP="000D6016">
      <w:pPr>
        <w:jc w:val="both"/>
        <w:rPr>
          <w:b/>
          <w:color w:val="0088C9"/>
          <w:sz w:val="28"/>
          <w:u w:val="single"/>
          <w:lang w:val="es-ES"/>
        </w:rPr>
      </w:pPr>
      <w:r w:rsidRPr="00EC141A">
        <w:rPr>
          <w:b/>
          <w:color w:val="0088C9"/>
          <w:sz w:val="28"/>
          <w:u w:val="single"/>
          <w:lang w:val="es-ES"/>
        </w:rPr>
        <w:t>¿Puede el acreedor agraviado suspender su propia obligación?</w:t>
      </w:r>
    </w:p>
    <w:p w14:paraId="10D84670" w14:textId="78EB8D26" w:rsidR="00EC141A" w:rsidRPr="00EC141A" w:rsidRDefault="00EC141A" w:rsidP="00EC141A">
      <w:pPr>
        <w:jc w:val="both"/>
        <w:rPr>
          <w:bCs/>
          <w:szCs w:val="18"/>
          <w:lang w:val="es-ES"/>
        </w:rPr>
      </w:pPr>
      <w:r w:rsidRPr="00EC141A">
        <w:rPr>
          <w:bCs/>
          <w:szCs w:val="18"/>
          <w:lang w:val="es-ES"/>
        </w:rPr>
        <w:t>Independientemente de si el deudor que ha incumplido puede invocar la fuerza mayor o no, y con sujeción a las reservas expresadas en la sección sobre "Fuerza mayor", el acreedor puede considerar la posibilidad de plantear una "</w:t>
      </w:r>
      <w:r>
        <w:rPr>
          <w:bCs/>
          <w:szCs w:val="18"/>
          <w:lang w:val="es-ES"/>
        </w:rPr>
        <w:t xml:space="preserve">excepción de </w:t>
      </w:r>
      <w:r w:rsidRPr="00EC141A">
        <w:rPr>
          <w:bCs/>
          <w:szCs w:val="18"/>
          <w:lang w:val="es-ES"/>
        </w:rPr>
        <w:t>incumplimiento".</w:t>
      </w:r>
    </w:p>
    <w:p w14:paraId="5412DDF3" w14:textId="79CE83F5" w:rsidR="00EC141A" w:rsidRPr="00EC141A" w:rsidRDefault="00EC141A" w:rsidP="00EC141A">
      <w:pPr>
        <w:jc w:val="both"/>
        <w:rPr>
          <w:bCs/>
          <w:szCs w:val="18"/>
          <w:lang w:val="es-ES"/>
        </w:rPr>
      </w:pPr>
      <w:r w:rsidRPr="00EC141A">
        <w:rPr>
          <w:bCs/>
          <w:szCs w:val="18"/>
          <w:lang w:val="es-ES"/>
        </w:rPr>
        <w:t xml:space="preserve">Mediante este mecanismo, la parte agraviada suspende el cumplimiento de su obligación. Tan pronto como el deudor esté de nuevo en condiciones de proporcionarle </w:t>
      </w:r>
      <w:r>
        <w:rPr>
          <w:bCs/>
          <w:szCs w:val="18"/>
          <w:lang w:val="es-ES"/>
        </w:rPr>
        <w:t>la contraparte</w:t>
      </w:r>
      <w:r w:rsidRPr="00EC141A">
        <w:rPr>
          <w:bCs/>
          <w:szCs w:val="18"/>
          <w:lang w:val="es-ES"/>
        </w:rPr>
        <w:t>, deberá reanudar el cumplimiento de esa obligación.</w:t>
      </w:r>
    </w:p>
    <w:p w14:paraId="72D99402" w14:textId="77777777" w:rsidR="00EC141A" w:rsidRPr="00EC141A" w:rsidRDefault="00EC141A" w:rsidP="00EC141A">
      <w:pPr>
        <w:jc w:val="both"/>
        <w:rPr>
          <w:bCs/>
          <w:szCs w:val="18"/>
          <w:lang w:val="es-ES"/>
        </w:rPr>
      </w:pPr>
      <w:r w:rsidRPr="00EC141A">
        <w:rPr>
          <w:bCs/>
          <w:szCs w:val="18"/>
          <w:lang w:val="es-ES"/>
        </w:rPr>
        <w:t xml:space="preserve">Esto es posible tan pronto como el incumplimiento con el que se enfrenta o que está claro que se enfrentará sea "suficientemente grave". El incumplimiento contemplado debe ser, por tanto, de cierta gravedad para poder contemplar esta defensa de incumplimiento. </w:t>
      </w:r>
    </w:p>
    <w:p w14:paraId="200FFDAD" w14:textId="1D727326" w:rsidR="00EC141A" w:rsidRPr="00EC141A" w:rsidRDefault="00EC141A" w:rsidP="00EC141A">
      <w:pPr>
        <w:jc w:val="both"/>
        <w:rPr>
          <w:bCs/>
          <w:szCs w:val="18"/>
          <w:lang w:val="es-ES"/>
        </w:rPr>
      </w:pPr>
      <w:r w:rsidRPr="00EC141A">
        <w:rPr>
          <w:bCs/>
          <w:szCs w:val="18"/>
          <w:lang w:val="es-ES"/>
        </w:rPr>
        <w:t>Por razones de seguridad</w:t>
      </w:r>
      <w:r>
        <w:rPr>
          <w:bCs/>
          <w:szCs w:val="18"/>
          <w:lang w:val="es-ES"/>
        </w:rPr>
        <w:t xml:space="preserve"> jurídica</w:t>
      </w:r>
      <w:r w:rsidRPr="00EC141A">
        <w:rPr>
          <w:bCs/>
          <w:szCs w:val="18"/>
          <w:lang w:val="es-ES"/>
        </w:rPr>
        <w:t xml:space="preserve">, es preferible recurrir a este mecanismo sólo cuando el incumplimiento del deudor equivale a una ausencia total de </w:t>
      </w:r>
      <w:r>
        <w:rPr>
          <w:bCs/>
          <w:szCs w:val="18"/>
          <w:lang w:val="es-ES"/>
        </w:rPr>
        <w:t>contraparte</w:t>
      </w:r>
      <w:r w:rsidRPr="00EC141A">
        <w:rPr>
          <w:bCs/>
          <w:szCs w:val="18"/>
          <w:lang w:val="es-ES"/>
        </w:rPr>
        <w:t xml:space="preserve">. </w:t>
      </w:r>
    </w:p>
    <w:p w14:paraId="22B4E02D" w14:textId="20838D86" w:rsidR="00471B81" w:rsidRPr="00EC141A" w:rsidRDefault="00EC141A" w:rsidP="00EC141A">
      <w:pPr>
        <w:jc w:val="both"/>
        <w:rPr>
          <w:bCs/>
          <w:szCs w:val="18"/>
          <w:lang w:val="es-ES"/>
        </w:rPr>
      </w:pPr>
      <w:r w:rsidRPr="00EC141A">
        <w:rPr>
          <w:bCs/>
          <w:szCs w:val="18"/>
          <w:lang w:val="es-ES"/>
        </w:rPr>
        <w:t>Por otro lado, un simple aviso es suficiente para ponerlo en práctica.</w:t>
      </w:r>
    </w:p>
    <w:p w14:paraId="0C4986F0" w14:textId="3422B662" w:rsidR="00471B81" w:rsidRPr="00EC141A" w:rsidRDefault="00471B81" w:rsidP="000D6016">
      <w:pPr>
        <w:jc w:val="both"/>
        <w:rPr>
          <w:bCs/>
          <w:szCs w:val="18"/>
          <w:lang w:val="es-ES"/>
        </w:rPr>
      </w:pPr>
    </w:p>
    <w:p w14:paraId="669C9E2E" w14:textId="77777777" w:rsidR="00471B81" w:rsidRPr="00EC141A" w:rsidRDefault="00471B81" w:rsidP="000D6016">
      <w:pPr>
        <w:jc w:val="both"/>
        <w:rPr>
          <w:bCs/>
          <w:szCs w:val="18"/>
          <w:lang w:val="es-ES"/>
        </w:rPr>
      </w:pPr>
    </w:p>
    <w:p w14:paraId="3D759B3B" w14:textId="77777777" w:rsidR="00B13EB5" w:rsidRPr="00EC141A" w:rsidRDefault="00B13EB5" w:rsidP="008055F1">
      <w:pPr>
        <w:jc w:val="both"/>
        <w:rPr>
          <w:lang w:val="es-ES"/>
        </w:rPr>
      </w:pPr>
    </w:p>
    <w:p w14:paraId="0971CA6E" w14:textId="77777777" w:rsidR="00193777" w:rsidRPr="00EC141A" w:rsidRDefault="00193777">
      <w:pPr>
        <w:rPr>
          <w:b/>
          <w:color w:val="0088C9"/>
          <w:sz w:val="28"/>
          <w:u w:val="single"/>
          <w:lang w:val="es-ES"/>
        </w:rPr>
      </w:pPr>
      <w:r w:rsidRPr="00EC141A">
        <w:rPr>
          <w:b/>
          <w:color w:val="0088C9"/>
          <w:sz w:val="28"/>
          <w:u w:val="single"/>
          <w:lang w:val="es-ES"/>
        </w:rPr>
        <w:br w:type="page"/>
      </w:r>
    </w:p>
    <w:p w14:paraId="7B0F2D29" w14:textId="77777777" w:rsidR="00C07553" w:rsidRPr="00EC141A" w:rsidRDefault="00C07553" w:rsidP="003578E7">
      <w:pPr>
        <w:jc w:val="both"/>
        <w:rPr>
          <w:b/>
          <w:color w:val="0088C9"/>
          <w:sz w:val="28"/>
          <w:u w:val="single"/>
          <w:lang w:val="es-ES"/>
        </w:rPr>
      </w:pPr>
    </w:p>
    <w:p w14:paraId="6CE06D96" w14:textId="4A37C2D8" w:rsidR="00193777" w:rsidRPr="00EC141A" w:rsidRDefault="003578E7" w:rsidP="003578E7">
      <w:pPr>
        <w:jc w:val="both"/>
        <w:rPr>
          <w:b/>
          <w:color w:val="0088C9"/>
          <w:sz w:val="28"/>
          <w:u w:val="single"/>
          <w:lang w:val="es-ES"/>
        </w:rPr>
      </w:pPr>
      <w:r w:rsidRPr="00EC141A">
        <w:rPr>
          <w:b/>
          <w:color w:val="0088C9"/>
          <w:sz w:val="28"/>
          <w:u w:val="single"/>
          <w:lang w:val="es-ES"/>
        </w:rPr>
        <w:t>Text</w:t>
      </w:r>
      <w:r w:rsidR="00D256DC">
        <w:rPr>
          <w:b/>
          <w:color w:val="0088C9"/>
          <w:sz w:val="28"/>
          <w:u w:val="single"/>
          <w:lang w:val="es-ES"/>
        </w:rPr>
        <w:t>o</w:t>
      </w:r>
      <w:r w:rsidRPr="00EC141A">
        <w:rPr>
          <w:b/>
          <w:color w:val="0088C9"/>
          <w:sz w:val="28"/>
          <w:u w:val="single"/>
          <w:lang w:val="es-ES"/>
        </w:rPr>
        <w:t xml:space="preserve">s </w:t>
      </w:r>
      <w:r w:rsidR="001C1778" w:rsidRPr="00EC141A">
        <w:rPr>
          <w:b/>
          <w:color w:val="0088C9"/>
          <w:sz w:val="28"/>
          <w:u w:val="single"/>
          <w:lang w:val="es-ES"/>
        </w:rPr>
        <w:t xml:space="preserve">aplicables </w:t>
      </w:r>
      <w:r w:rsidRPr="00EC141A">
        <w:rPr>
          <w:b/>
          <w:color w:val="0088C9"/>
          <w:sz w:val="28"/>
          <w:u w:val="single"/>
          <w:lang w:val="es-ES"/>
        </w:rPr>
        <w:t>:</w:t>
      </w:r>
    </w:p>
    <w:p w14:paraId="1FB857E1" w14:textId="77777777" w:rsidR="000D6016" w:rsidRPr="00EC141A" w:rsidRDefault="000D6016" w:rsidP="003578E7">
      <w:pPr>
        <w:jc w:val="both"/>
        <w:rPr>
          <w:b/>
          <w:color w:val="0088C9"/>
          <w:sz w:val="18"/>
          <w:szCs w:val="14"/>
          <w:u w:val="single"/>
          <w:lang w:val="es-ES"/>
        </w:rPr>
      </w:pPr>
    </w:p>
    <w:p w14:paraId="3E064ED9" w14:textId="0B0D60BB" w:rsidR="000D6016" w:rsidRPr="00EC141A" w:rsidRDefault="00D256DC" w:rsidP="000D6016">
      <w:pPr>
        <w:pBdr>
          <w:top w:val="single" w:sz="4" w:space="1" w:color="auto"/>
          <w:left w:val="single" w:sz="4" w:space="4" w:color="auto"/>
          <w:bottom w:val="single" w:sz="4" w:space="1" w:color="auto"/>
          <w:right w:val="single" w:sz="4" w:space="4" w:color="auto"/>
        </w:pBdr>
        <w:jc w:val="both"/>
        <w:rPr>
          <w:b/>
          <w:color w:val="0088C9"/>
          <w:sz w:val="28"/>
          <w:u w:val="single"/>
          <w:lang w:val="es-ES"/>
        </w:rPr>
      </w:pPr>
      <w:r w:rsidRPr="00D256DC">
        <w:rPr>
          <w:b/>
          <w:i/>
          <w:iCs/>
          <w:color w:val="0088C9"/>
          <w:u w:val="single"/>
          <w:lang w:val="es-ES"/>
        </w:rPr>
        <w:t xml:space="preserve">Orden </w:t>
      </w:r>
      <w:proofErr w:type="spellStart"/>
      <w:r w:rsidRPr="00D256DC">
        <w:rPr>
          <w:b/>
          <w:i/>
          <w:iCs/>
          <w:color w:val="0088C9"/>
          <w:u w:val="single"/>
          <w:lang w:val="es-ES"/>
        </w:rPr>
        <w:t>Nº</w:t>
      </w:r>
      <w:proofErr w:type="spellEnd"/>
      <w:r w:rsidRPr="00D256DC">
        <w:rPr>
          <w:b/>
          <w:i/>
          <w:iCs/>
          <w:color w:val="0088C9"/>
          <w:u w:val="single"/>
          <w:lang w:val="es-ES"/>
        </w:rPr>
        <w:t xml:space="preserve"> 2020-306, de 25 de marzo de 2020, relativa a la prórroga de los plazos durante el período de emergencias de salud pública y la adaptación de los procedimientos durante el mismo período:</w:t>
      </w:r>
    </w:p>
    <w:p w14:paraId="130BA9A9" w14:textId="7EA6FDDC" w:rsidR="000D6016" w:rsidRPr="00EC141A" w:rsidRDefault="000D6016" w:rsidP="000D6016">
      <w:pPr>
        <w:pBdr>
          <w:top w:val="single" w:sz="4" w:space="1" w:color="auto"/>
          <w:left w:val="single" w:sz="4" w:space="4" w:color="auto"/>
          <w:bottom w:val="single" w:sz="4" w:space="1" w:color="auto"/>
          <w:right w:val="single" w:sz="4" w:space="4" w:color="auto"/>
        </w:pBdr>
        <w:jc w:val="both"/>
        <w:rPr>
          <w:lang w:val="es-ES"/>
        </w:rPr>
      </w:pPr>
      <w:r w:rsidRPr="00EC141A">
        <w:rPr>
          <w:bCs/>
          <w:i/>
          <w:iCs/>
          <w:lang w:val="es-ES"/>
        </w:rPr>
        <w:t>«</w:t>
      </w:r>
      <w:r w:rsidRPr="00EC141A">
        <w:rPr>
          <w:b/>
          <w:i/>
          <w:iCs/>
          <w:lang w:val="es-ES"/>
        </w:rPr>
        <w:t>Art</w:t>
      </w:r>
      <w:r w:rsidR="00D256DC">
        <w:rPr>
          <w:b/>
          <w:i/>
          <w:iCs/>
          <w:lang w:val="es-ES"/>
        </w:rPr>
        <w:t>í</w:t>
      </w:r>
      <w:r w:rsidRPr="00EC141A">
        <w:rPr>
          <w:b/>
          <w:i/>
          <w:iCs/>
          <w:lang w:val="es-ES"/>
        </w:rPr>
        <w:t>c</w:t>
      </w:r>
      <w:r w:rsidR="00D256DC">
        <w:rPr>
          <w:b/>
          <w:i/>
          <w:iCs/>
          <w:lang w:val="es-ES"/>
        </w:rPr>
        <w:t>u</w:t>
      </w:r>
      <w:r w:rsidRPr="00EC141A">
        <w:rPr>
          <w:b/>
          <w:i/>
          <w:iCs/>
          <w:lang w:val="es-ES"/>
        </w:rPr>
        <w:t>l</w:t>
      </w:r>
      <w:r w:rsidR="00D256DC">
        <w:rPr>
          <w:b/>
          <w:i/>
          <w:iCs/>
          <w:lang w:val="es-ES"/>
        </w:rPr>
        <w:t>o</w:t>
      </w:r>
      <w:r w:rsidRPr="00EC141A">
        <w:rPr>
          <w:b/>
          <w:i/>
          <w:iCs/>
          <w:lang w:val="es-ES"/>
        </w:rPr>
        <w:t xml:space="preserve"> 4</w:t>
      </w:r>
    </w:p>
    <w:p w14:paraId="0B49506B" w14:textId="77777777" w:rsidR="00D256DC" w:rsidRPr="00D256DC" w:rsidRDefault="00D256DC" w:rsidP="00D256DC">
      <w:pPr>
        <w:pBdr>
          <w:top w:val="single" w:sz="4" w:space="1" w:color="auto"/>
          <w:left w:val="single" w:sz="4" w:space="4" w:color="auto"/>
          <w:bottom w:val="single" w:sz="4" w:space="1" w:color="auto"/>
          <w:right w:val="single" w:sz="4" w:space="4" w:color="auto"/>
        </w:pBdr>
        <w:jc w:val="both"/>
        <w:rPr>
          <w:i/>
          <w:iCs/>
          <w:lang w:val="es-ES"/>
        </w:rPr>
      </w:pPr>
      <w:r w:rsidRPr="00D256DC">
        <w:rPr>
          <w:i/>
          <w:iCs/>
          <w:lang w:val="es-ES"/>
        </w:rPr>
        <w:t>Las multas periódicas, las cláusulas de penalización, las cláusulas de rescisión y las cláusulas de decomiso, cuando tengan por objeto penalizar el incumplimiento de una obligación en un plazo determinado, se considerarán no iniciadas o no efectivas si dicho plazo ha expirado durante el período definido en el artículo 1.I).</w:t>
      </w:r>
    </w:p>
    <w:p w14:paraId="169EE18E" w14:textId="77777777" w:rsidR="00D256DC" w:rsidRPr="00D256DC" w:rsidRDefault="00D256DC" w:rsidP="00D256DC">
      <w:pPr>
        <w:pBdr>
          <w:top w:val="single" w:sz="4" w:space="1" w:color="auto"/>
          <w:left w:val="single" w:sz="4" w:space="4" w:color="auto"/>
          <w:bottom w:val="single" w:sz="4" w:space="1" w:color="auto"/>
          <w:right w:val="single" w:sz="4" w:space="4" w:color="auto"/>
        </w:pBdr>
        <w:jc w:val="both"/>
        <w:rPr>
          <w:i/>
          <w:iCs/>
          <w:lang w:val="es-ES"/>
        </w:rPr>
      </w:pPr>
      <w:r w:rsidRPr="00D256DC">
        <w:rPr>
          <w:i/>
          <w:iCs/>
          <w:lang w:val="es-ES"/>
        </w:rPr>
        <w:t>Esas multas coercitivas periódicas surtirán efecto y serán ejecutables a partir de la expiración de un plazo de un mes después de la expiración de ese plazo si el deudor no ha cumplido su obligación antes de ese momento.</w:t>
      </w:r>
    </w:p>
    <w:p w14:paraId="444D95FE" w14:textId="16921E74" w:rsidR="000D6016" w:rsidRPr="00EC141A" w:rsidRDefault="00D256DC" w:rsidP="00D256DC">
      <w:pPr>
        <w:pBdr>
          <w:top w:val="single" w:sz="4" w:space="1" w:color="auto"/>
          <w:left w:val="single" w:sz="4" w:space="4" w:color="auto"/>
          <w:bottom w:val="single" w:sz="4" w:space="1" w:color="auto"/>
          <w:right w:val="single" w:sz="4" w:space="4" w:color="auto"/>
        </w:pBdr>
        <w:jc w:val="both"/>
        <w:rPr>
          <w:lang w:val="es-ES"/>
        </w:rPr>
      </w:pPr>
      <w:r w:rsidRPr="00D256DC">
        <w:rPr>
          <w:i/>
          <w:iCs/>
          <w:lang w:val="es-ES"/>
        </w:rPr>
        <w:t>La duración de las multas coercitivas y la aplicación de las cláusulas de penalización que hayan entrado en vigor antes del 12 de marzo de 2020 se suspenderán durante el período definido en el apartado I del artículo 1</w:t>
      </w:r>
      <w:r w:rsidR="000D6016" w:rsidRPr="00EC141A">
        <w:rPr>
          <w:bCs/>
          <w:i/>
          <w:iCs/>
          <w:lang w:val="es-ES"/>
        </w:rPr>
        <w:t>»</w:t>
      </w:r>
    </w:p>
    <w:p w14:paraId="1747F172" w14:textId="77777777" w:rsidR="000D6016" w:rsidRPr="00EC141A" w:rsidRDefault="000D6016" w:rsidP="003578E7">
      <w:pPr>
        <w:jc w:val="both"/>
        <w:rPr>
          <w:b/>
          <w:color w:val="0088C9"/>
          <w:sz w:val="28"/>
          <w:u w:val="single"/>
          <w:lang w:val="es-ES"/>
        </w:rPr>
      </w:pPr>
    </w:p>
    <w:p w14:paraId="00BEBE8D" w14:textId="4A5D6B52" w:rsidR="000D6016" w:rsidRPr="00EC141A" w:rsidRDefault="00D256DC" w:rsidP="000D6016">
      <w:pPr>
        <w:pBdr>
          <w:top w:val="single" w:sz="4" w:space="1" w:color="auto"/>
          <w:left w:val="single" w:sz="4" w:space="4" w:color="auto"/>
          <w:bottom w:val="single" w:sz="4" w:space="1" w:color="auto"/>
          <w:right w:val="single" w:sz="4" w:space="4" w:color="auto"/>
        </w:pBdr>
        <w:jc w:val="both"/>
        <w:rPr>
          <w:b/>
          <w:i/>
          <w:iCs/>
          <w:color w:val="0088C9"/>
          <w:u w:val="single"/>
          <w:lang w:val="es-ES"/>
        </w:rPr>
      </w:pPr>
      <w:r>
        <w:rPr>
          <w:b/>
          <w:i/>
          <w:iCs/>
          <w:color w:val="0088C9"/>
          <w:u w:val="single"/>
          <w:lang w:val="es-ES"/>
        </w:rPr>
        <w:t>Artículo</w:t>
      </w:r>
      <w:r w:rsidR="000D6016" w:rsidRPr="00EC141A">
        <w:rPr>
          <w:b/>
          <w:i/>
          <w:iCs/>
          <w:color w:val="0088C9"/>
          <w:u w:val="single"/>
          <w:lang w:val="es-ES"/>
        </w:rPr>
        <w:t xml:space="preserve"> 1218 d</w:t>
      </w:r>
      <w:r>
        <w:rPr>
          <w:b/>
          <w:i/>
          <w:iCs/>
          <w:color w:val="0088C9"/>
          <w:u w:val="single"/>
          <w:lang w:val="es-ES"/>
        </w:rPr>
        <w:t xml:space="preserve">el </w:t>
      </w:r>
      <w:r w:rsidR="000D6016" w:rsidRPr="00EC141A">
        <w:rPr>
          <w:b/>
          <w:i/>
          <w:iCs/>
          <w:color w:val="0088C9"/>
          <w:u w:val="single"/>
          <w:lang w:val="es-ES"/>
        </w:rPr>
        <w:t>C</w:t>
      </w:r>
      <w:r>
        <w:rPr>
          <w:b/>
          <w:i/>
          <w:iCs/>
          <w:color w:val="0088C9"/>
          <w:u w:val="single"/>
          <w:lang w:val="es-ES"/>
        </w:rPr>
        <w:t>ódigo</w:t>
      </w:r>
      <w:r w:rsidR="000D6016" w:rsidRPr="00EC141A">
        <w:rPr>
          <w:b/>
          <w:i/>
          <w:iCs/>
          <w:color w:val="0088C9"/>
          <w:u w:val="single"/>
          <w:lang w:val="es-ES"/>
        </w:rPr>
        <w:t xml:space="preserve"> civil (</w:t>
      </w:r>
      <w:r>
        <w:rPr>
          <w:b/>
          <w:i/>
          <w:iCs/>
          <w:color w:val="0088C9"/>
          <w:u w:val="single"/>
          <w:lang w:val="es-ES"/>
        </w:rPr>
        <w:t>Fuerza Mayor</w:t>
      </w:r>
      <w:r w:rsidR="000D6016" w:rsidRPr="00EC141A">
        <w:rPr>
          <w:b/>
          <w:i/>
          <w:iCs/>
          <w:color w:val="0088C9"/>
          <w:u w:val="single"/>
          <w:lang w:val="es-ES"/>
        </w:rPr>
        <w:t>)</w:t>
      </w:r>
    </w:p>
    <w:p w14:paraId="46284546" w14:textId="77777777" w:rsidR="00D256DC" w:rsidRPr="00D256DC" w:rsidRDefault="000D6016" w:rsidP="00D256DC">
      <w:pPr>
        <w:pBdr>
          <w:top w:val="single" w:sz="4" w:space="1" w:color="auto"/>
          <w:left w:val="single" w:sz="4" w:space="4" w:color="auto"/>
          <w:bottom w:val="single" w:sz="4" w:space="1" w:color="auto"/>
          <w:right w:val="single" w:sz="4" w:space="4" w:color="auto"/>
        </w:pBdr>
        <w:jc w:val="both"/>
        <w:rPr>
          <w:bCs/>
          <w:i/>
          <w:iCs/>
          <w:lang w:val="es-ES"/>
        </w:rPr>
      </w:pPr>
      <w:r w:rsidRPr="00EC141A">
        <w:rPr>
          <w:bCs/>
          <w:i/>
          <w:iCs/>
          <w:lang w:val="es-ES"/>
        </w:rPr>
        <w:t>« </w:t>
      </w:r>
      <w:r w:rsidR="00D256DC" w:rsidRPr="00D256DC">
        <w:rPr>
          <w:bCs/>
          <w:i/>
          <w:iCs/>
          <w:lang w:val="es-ES"/>
        </w:rPr>
        <w:t>La fuerza mayor en materia contractual se produce cuando un acontecimiento ajeno a la voluntad del deudor, que no podía preverse razonablemente en el momento de la celebración del contrato y cuyos efectos no pueden evitarse con medidas adecuadas, impide el cumplimiento de la obligación por parte del deudor.</w:t>
      </w:r>
    </w:p>
    <w:p w14:paraId="7D79BB48" w14:textId="09AC8CED" w:rsidR="001C1778" w:rsidRPr="00EC141A" w:rsidRDefault="00D256DC" w:rsidP="00D256DC">
      <w:pPr>
        <w:pBdr>
          <w:top w:val="single" w:sz="4" w:space="1" w:color="auto"/>
          <w:left w:val="single" w:sz="4" w:space="4" w:color="auto"/>
          <w:bottom w:val="single" w:sz="4" w:space="1" w:color="auto"/>
          <w:right w:val="single" w:sz="4" w:space="4" w:color="auto"/>
        </w:pBdr>
        <w:jc w:val="both"/>
        <w:rPr>
          <w:bCs/>
          <w:i/>
          <w:iCs/>
          <w:color w:val="0088C9"/>
          <w:u w:val="single"/>
          <w:lang w:val="es-ES"/>
        </w:rPr>
      </w:pPr>
      <w:r w:rsidRPr="00D256DC">
        <w:rPr>
          <w:bCs/>
          <w:i/>
          <w:iCs/>
          <w:lang w:val="es-ES"/>
        </w:rPr>
        <w:t>Si el impedimento es temporal, se suspenderá el cumplimiento de la obligación, a menos que el retraso resultante justifique la terminación del contrato. Si el impedimento es permanente, el contrato se extingue por efecto de la ley y las partes quedan liberadas de sus obligaciones en las condiciones previstas en los artículos 1351 y 1351-1</w:t>
      </w:r>
      <w:r w:rsidR="000D6016" w:rsidRPr="00EC141A">
        <w:rPr>
          <w:bCs/>
          <w:i/>
          <w:iCs/>
          <w:lang w:val="es-ES"/>
        </w:rPr>
        <w:t>».</w:t>
      </w:r>
    </w:p>
    <w:p w14:paraId="512CA411" w14:textId="77777777" w:rsidR="000D6016" w:rsidRPr="00EC141A" w:rsidRDefault="000D6016" w:rsidP="003578E7">
      <w:pPr>
        <w:jc w:val="both"/>
        <w:rPr>
          <w:b/>
          <w:color w:val="0088C9"/>
          <w:sz w:val="18"/>
          <w:szCs w:val="14"/>
          <w:u w:val="single"/>
          <w:lang w:val="es-ES"/>
        </w:rPr>
      </w:pPr>
    </w:p>
    <w:p w14:paraId="7CDBFF30" w14:textId="63D49F66" w:rsidR="000D6016" w:rsidRPr="00EC141A" w:rsidRDefault="00D256DC" w:rsidP="000D6016">
      <w:pPr>
        <w:pBdr>
          <w:top w:val="single" w:sz="4" w:space="1" w:color="auto"/>
          <w:left w:val="single" w:sz="4" w:space="4" w:color="auto"/>
          <w:bottom w:val="single" w:sz="4" w:space="1" w:color="auto"/>
          <w:right w:val="single" w:sz="4" w:space="4" w:color="auto"/>
        </w:pBdr>
        <w:jc w:val="both"/>
        <w:rPr>
          <w:b/>
          <w:i/>
          <w:iCs/>
          <w:color w:val="0088C9"/>
          <w:u w:val="single"/>
          <w:lang w:val="es-ES"/>
        </w:rPr>
      </w:pPr>
      <w:r>
        <w:rPr>
          <w:b/>
          <w:i/>
          <w:iCs/>
          <w:color w:val="0088C9"/>
          <w:u w:val="single"/>
          <w:lang w:val="es-ES"/>
        </w:rPr>
        <w:t>Artículo</w:t>
      </w:r>
      <w:r w:rsidR="000D6016" w:rsidRPr="00EC141A">
        <w:rPr>
          <w:b/>
          <w:i/>
          <w:iCs/>
          <w:color w:val="0088C9"/>
          <w:u w:val="single"/>
          <w:lang w:val="es-ES"/>
        </w:rPr>
        <w:t xml:space="preserve"> 1195 </w:t>
      </w:r>
      <w:r>
        <w:rPr>
          <w:b/>
          <w:i/>
          <w:iCs/>
          <w:color w:val="0088C9"/>
          <w:u w:val="single"/>
          <w:lang w:val="es-ES"/>
        </w:rPr>
        <w:t>del Código ci</w:t>
      </w:r>
      <w:r w:rsidR="000D6016" w:rsidRPr="00EC141A">
        <w:rPr>
          <w:b/>
          <w:i/>
          <w:iCs/>
          <w:color w:val="0088C9"/>
          <w:u w:val="single"/>
          <w:lang w:val="es-ES"/>
        </w:rPr>
        <w:t>vil (</w:t>
      </w:r>
      <w:r>
        <w:rPr>
          <w:b/>
          <w:i/>
          <w:iCs/>
          <w:color w:val="0088C9"/>
          <w:u w:val="single"/>
          <w:lang w:val="es-ES"/>
        </w:rPr>
        <w:t>Imprevisibilidad</w:t>
      </w:r>
      <w:r w:rsidR="000D6016" w:rsidRPr="00EC141A">
        <w:rPr>
          <w:b/>
          <w:i/>
          <w:iCs/>
          <w:color w:val="0088C9"/>
          <w:u w:val="single"/>
          <w:lang w:val="es-ES"/>
        </w:rPr>
        <w:t>)</w:t>
      </w:r>
    </w:p>
    <w:p w14:paraId="0A6EE046" w14:textId="381FD251" w:rsidR="00D256DC" w:rsidRPr="00D256DC" w:rsidRDefault="000D6016" w:rsidP="00D256DC">
      <w:pPr>
        <w:pBdr>
          <w:top w:val="single" w:sz="4" w:space="1" w:color="auto"/>
          <w:left w:val="single" w:sz="4" w:space="4" w:color="auto"/>
          <w:bottom w:val="single" w:sz="4" w:space="1" w:color="auto"/>
          <w:right w:val="single" w:sz="4" w:space="4" w:color="auto"/>
        </w:pBdr>
        <w:jc w:val="both"/>
        <w:rPr>
          <w:bCs/>
          <w:i/>
          <w:iCs/>
          <w:lang w:val="es-ES"/>
        </w:rPr>
      </w:pPr>
      <w:r w:rsidRPr="00EC141A">
        <w:rPr>
          <w:bCs/>
          <w:i/>
          <w:iCs/>
          <w:lang w:val="es-ES"/>
        </w:rPr>
        <w:t>«</w:t>
      </w:r>
      <w:r w:rsidR="00D256DC" w:rsidRPr="00D256DC">
        <w:rPr>
          <w:bCs/>
          <w:i/>
          <w:iCs/>
          <w:lang w:val="es-ES"/>
        </w:rPr>
        <w:t>Si un cambio de circunstancias imprevisible en el momento de la celebración del contrato hace que el cumplimiento sea excesivamente oneroso para una parte que no había aceptado asumir el riesgo, esa parte podrá solicitar a la otra parte que renegocie el contrato. Seguirá cumpliendo sus obligaciones durante la renegociación.</w:t>
      </w:r>
    </w:p>
    <w:p w14:paraId="6F9415AA" w14:textId="6759DAE1" w:rsidR="00193777" w:rsidRPr="00EC141A" w:rsidRDefault="00D256DC" w:rsidP="00D256DC">
      <w:pPr>
        <w:pBdr>
          <w:top w:val="single" w:sz="4" w:space="1" w:color="auto"/>
          <w:left w:val="single" w:sz="4" w:space="4" w:color="auto"/>
          <w:bottom w:val="single" w:sz="4" w:space="1" w:color="auto"/>
          <w:right w:val="single" w:sz="4" w:space="4" w:color="auto"/>
        </w:pBdr>
        <w:jc w:val="both"/>
        <w:rPr>
          <w:bCs/>
          <w:i/>
          <w:iCs/>
          <w:color w:val="0088C9"/>
          <w:u w:val="single"/>
          <w:lang w:val="es-ES"/>
        </w:rPr>
      </w:pPr>
      <w:r w:rsidRPr="00D256DC">
        <w:rPr>
          <w:bCs/>
          <w:i/>
          <w:iCs/>
          <w:lang w:val="es-ES"/>
        </w:rPr>
        <w:t xml:space="preserve">Si la renegociación se rechaza o fracasa, las partes pueden acordar la terminación del contrato, en la fecha y en los términos que determinen, o solicitar al tribunal que lo adapte de mutuo acuerdo. Si no </w:t>
      </w:r>
      <w:r w:rsidRPr="00D256DC">
        <w:rPr>
          <w:bCs/>
          <w:i/>
          <w:iCs/>
          <w:lang w:val="es-ES"/>
        </w:rPr>
        <w:lastRenderedPageBreak/>
        <w:t>se llega a un acuerdo en un plazo razonable, el tribunal podrá, a petición de una de las partes, revisar o rescindir el contrato, en la fecha y en las condiciones que determine</w:t>
      </w:r>
      <w:r w:rsidR="000D6016" w:rsidRPr="00EC141A">
        <w:rPr>
          <w:bCs/>
          <w:i/>
          <w:iCs/>
          <w:lang w:val="es-ES"/>
        </w:rPr>
        <w:t>».</w:t>
      </w:r>
    </w:p>
    <w:p w14:paraId="02E14B67" w14:textId="1E83780D" w:rsidR="00193777" w:rsidRPr="00EC141A" w:rsidRDefault="00193777" w:rsidP="003578E7">
      <w:pPr>
        <w:jc w:val="both"/>
        <w:rPr>
          <w:bCs/>
          <w:color w:val="0088C9"/>
          <w:lang w:val="es-ES"/>
        </w:rPr>
      </w:pPr>
    </w:p>
    <w:p w14:paraId="0CEDBA00" w14:textId="7DAB97D2" w:rsidR="00471B81" w:rsidRPr="00EC141A" w:rsidRDefault="00D256DC" w:rsidP="00471B81">
      <w:pPr>
        <w:pBdr>
          <w:top w:val="single" w:sz="4" w:space="1" w:color="auto"/>
          <w:left w:val="single" w:sz="4" w:space="4" w:color="auto"/>
          <w:bottom w:val="single" w:sz="4" w:space="1" w:color="auto"/>
          <w:right w:val="single" w:sz="4" w:space="4" w:color="auto"/>
        </w:pBdr>
        <w:jc w:val="both"/>
        <w:rPr>
          <w:b/>
          <w:i/>
          <w:iCs/>
          <w:color w:val="0088C9"/>
          <w:u w:val="single"/>
          <w:lang w:val="es-ES"/>
        </w:rPr>
      </w:pPr>
      <w:r>
        <w:rPr>
          <w:b/>
          <w:i/>
          <w:iCs/>
          <w:color w:val="0088C9"/>
          <w:u w:val="single"/>
          <w:lang w:val="es-ES"/>
        </w:rPr>
        <w:t>Artículo</w:t>
      </w:r>
      <w:r w:rsidR="00471B81" w:rsidRPr="00EC141A">
        <w:rPr>
          <w:b/>
          <w:i/>
          <w:iCs/>
          <w:color w:val="0088C9"/>
          <w:u w:val="single"/>
          <w:lang w:val="es-ES"/>
        </w:rPr>
        <w:t xml:space="preserve"> 1220 d</w:t>
      </w:r>
      <w:r>
        <w:rPr>
          <w:b/>
          <w:i/>
          <w:iCs/>
          <w:color w:val="0088C9"/>
          <w:u w:val="single"/>
          <w:lang w:val="es-ES"/>
        </w:rPr>
        <w:t xml:space="preserve">el Código </w:t>
      </w:r>
      <w:r w:rsidR="00471B81" w:rsidRPr="00EC141A">
        <w:rPr>
          <w:b/>
          <w:i/>
          <w:iCs/>
          <w:color w:val="0088C9"/>
          <w:u w:val="single"/>
          <w:lang w:val="es-ES"/>
        </w:rPr>
        <w:t>civil (</w:t>
      </w:r>
      <w:r>
        <w:rPr>
          <w:b/>
          <w:i/>
          <w:iCs/>
          <w:color w:val="0088C9"/>
          <w:u w:val="single"/>
          <w:lang w:val="es-ES"/>
        </w:rPr>
        <w:t>Excepción de incumplimiento</w:t>
      </w:r>
      <w:r w:rsidR="00471B81" w:rsidRPr="00EC141A">
        <w:rPr>
          <w:b/>
          <w:i/>
          <w:iCs/>
          <w:color w:val="0088C9"/>
          <w:u w:val="single"/>
          <w:lang w:val="es-ES"/>
        </w:rPr>
        <w:t>)</w:t>
      </w:r>
    </w:p>
    <w:p w14:paraId="42FBEBD3" w14:textId="422C4A01" w:rsidR="00471B81" w:rsidRPr="00EC141A" w:rsidRDefault="00471B81" w:rsidP="00471B81">
      <w:pPr>
        <w:pBdr>
          <w:top w:val="single" w:sz="4" w:space="1" w:color="auto"/>
          <w:left w:val="single" w:sz="4" w:space="4" w:color="auto"/>
          <w:bottom w:val="single" w:sz="4" w:space="1" w:color="auto"/>
          <w:right w:val="single" w:sz="4" w:space="4" w:color="auto"/>
        </w:pBdr>
        <w:jc w:val="both"/>
        <w:rPr>
          <w:bCs/>
          <w:i/>
          <w:iCs/>
          <w:color w:val="0088C9"/>
          <w:u w:val="single"/>
          <w:lang w:val="es-ES"/>
        </w:rPr>
      </w:pPr>
      <w:r w:rsidRPr="00EC141A">
        <w:rPr>
          <w:bCs/>
          <w:i/>
          <w:iCs/>
          <w:lang w:val="es-ES"/>
        </w:rPr>
        <w:t>«</w:t>
      </w:r>
      <w:r w:rsidR="00D256DC" w:rsidRPr="00D256DC">
        <w:rPr>
          <w:bCs/>
          <w:i/>
          <w:iCs/>
          <w:lang w:val="es-ES"/>
        </w:rPr>
        <w:t>Una parte puede suspender el cumplimiento de su obligación si es evidente que su contraparte no cumplirá cuando sea debido y las consecuencias de tal incumplimiento son suficientemente graves para esa parte. Dicha suspensión debe ser notificada lo antes posible</w:t>
      </w:r>
      <w:r w:rsidRPr="00EC141A">
        <w:rPr>
          <w:bCs/>
          <w:i/>
          <w:iCs/>
          <w:lang w:val="es-ES"/>
        </w:rPr>
        <w:t>».</w:t>
      </w:r>
    </w:p>
    <w:p w14:paraId="34A159B3" w14:textId="2CFAECBD" w:rsidR="00471B81" w:rsidRPr="00EC141A" w:rsidRDefault="00471B81" w:rsidP="003578E7">
      <w:pPr>
        <w:jc w:val="both"/>
        <w:rPr>
          <w:bCs/>
          <w:color w:val="0088C9"/>
          <w:lang w:val="es-ES"/>
        </w:rPr>
      </w:pPr>
    </w:p>
    <w:p w14:paraId="026FD0DA" w14:textId="6C31DB58" w:rsidR="007077EE" w:rsidRPr="00EC141A" w:rsidRDefault="00C304ED" w:rsidP="00C304ED">
      <w:pPr>
        <w:spacing w:after="120"/>
        <w:jc w:val="center"/>
        <w:rPr>
          <w:b/>
          <w:color w:val="0088C9"/>
          <w:sz w:val="24"/>
          <w:lang w:val="es-ES"/>
        </w:rPr>
      </w:pPr>
      <w:r w:rsidRPr="00EC141A">
        <w:rPr>
          <w:b/>
          <w:color w:val="0088C9"/>
          <w:sz w:val="24"/>
          <w:lang w:val="es-ES"/>
        </w:rPr>
        <w:t>***</w:t>
      </w:r>
    </w:p>
    <w:p w14:paraId="52A59C99" w14:textId="77777777" w:rsidR="00C304ED" w:rsidRPr="00EC141A" w:rsidRDefault="00C304ED" w:rsidP="00BA1849">
      <w:pPr>
        <w:jc w:val="both"/>
        <w:rPr>
          <w:iCs/>
          <w:color w:val="0088C9"/>
          <w:lang w:val="es-ES"/>
        </w:rPr>
      </w:pPr>
    </w:p>
    <w:p w14:paraId="633B446B" w14:textId="77777777" w:rsidR="00D256DC" w:rsidRPr="009F773C" w:rsidRDefault="00D256DC" w:rsidP="00D256DC">
      <w:pPr>
        <w:jc w:val="both"/>
        <w:rPr>
          <w:iCs/>
          <w:color w:val="0088C9"/>
          <w:lang w:val="es-ES"/>
        </w:rPr>
      </w:pPr>
      <w:r w:rsidRPr="009F773C">
        <w:rPr>
          <w:iCs/>
          <w:color w:val="0088C9"/>
          <w:lang w:val="es-ES"/>
        </w:rPr>
        <w:t>No dud</w:t>
      </w:r>
      <w:r>
        <w:rPr>
          <w:iCs/>
          <w:color w:val="0088C9"/>
          <w:lang w:val="es-ES"/>
        </w:rPr>
        <w:t>éis</w:t>
      </w:r>
      <w:r w:rsidRPr="009F773C">
        <w:rPr>
          <w:iCs/>
          <w:color w:val="0088C9"/>
          <w:lang w:val="es-ES"/>
        </w:rPr>
        <w:t xml:space="preserve"> en contactarnos si necesit</w:t>
      </w:r>
      <w:r>
        <w:rPr>
          <w:iCs/>
          <w:color w:val="0088C9"/>
          <w:lang w:val="es-ES"/>
        </w:rPr>
        <w:t>áis</w:t>
      </w:r>
      <w:r w:rsidRPr="009F773C">
        <w:rPr>
          <w:iCs/>
          <w:color w:val="0088C9"/>
          <w:lang w:val="es-ES"/>
        </w:rPr>
        <w:t xml:space="preserve"> apoyo legal para adaptar </w:t>
      </w:r>
      <w:r>
        <w:rPr>
          <w:iCs/>
          <w:color w:val="0088C9"/>
          <w:lang w:val="es-ES"/>
        </w:rPr>
        <w:t>vuestra</w:t>
      </w:r>
      <w:r w:rsidRPr="009F773C">
        <w:rPr>
          <w:iCs/>
          <w:color w:val="0088C9"/>
          <w:lang w:val="es-ES"/>
        </w:rPr>
        <w:t xml:space="preserve"> actividad a la pandemia de COVID-19.</w:t>
      </w:r>
    </w:p>
    <w:p w14:paraId="088004B8" w14:textId="73BCAE16" w:rsidR="00C126AC" w:rsidRPr="00EC141A" w:rsidRDefault="00D256DC" w:rsidP="00D256DC">
      <w:pPr>
        <w:jc w:val="both"/>
        <w:rPr>
          <w:iCs/>
          <w:color w:val="0088C9"/>
          <w:lang w:val="es-ES"/>
        </w:rPr>
      </w:pPr>
      <w:r w:rsidRPr="009F773C">
        <w:rPr>
          <w:iCs/>
          <w:color w:val="0088C9"/>
          <w:lang w:val="es-ES"/>
        </w:rPr>
        <w:t xml:space="preserve">También </w:t>
      </w:r>
      <w:r>
        <w:rPr>
          <w:iCs/>
          <w:color w:val="0088C9"/>
          <w:lang w:val="es-ES"/>
        </w:rPr>
        <w:t>podéis</w:t>
      </w:r>
      <w:r w:rsidRPr="009F773C">
        <w:rPr>
          <w:iCs/>
          <w:color w:val="0088C9"/>
          <w:lang w:val="es-ES"/>
        </w:rPr>
        <w:t xml:space="preserve"> encontrar más información en nuestro sitio web y en nuestra página de LinkedIn visible</w:t>
      </w:r>
      <w:r>
        <w:rPr>
          <w:iCs/>
          <w:color w:val="0088C9"/>
          <w:lang w:val="es-ES"/>
        </w:rPr>
        <w:t>s</w:t>
      </w:r>
      <w:r w:rsidRPr="009F773C">
        <w:rPr>
          <w:iCs/>
          <w:color w:val="0088C9"/>
          <w:lang w:val="es-ES"/>
        </w:rPr>
        <w:t xml:space="preserve"> siguiendo los enlaces </w:t>
      </w:r>
      <w:r>
        <w:rPr>
          <w:iCs/>
          <w:color w:val="0088C9"/>
          <w:lang w:val="es-ES"/>
        </w:rPr>
        <w:t>siguientes</w:t>
      </w:r>
      <w:r w:rsidRPr="009F773C">
        <w:rPr>
          <w:iCs/>
          <w:color w:val="0088C9"/>
          <w:lang w:val="es-ES"/>
        </w:rPr>
        <w:t>:</w:t>
      </w:r>
    </w:p>
    <w:p w14:paraId="588FBE71" w14:textId="1D89C9A6" w:rsidR="00B866B0" w:rsidRPr="00EC141A" w:rsidRDefault="00863129" w:rsidP="00B866B0">
      <w:pPr>
        <w:jc w:val="center"/>
        <w:rPr>
          <w:i/>
          <w:color w:val="0088C9"/>
          <w:u w:val="single"/>
          <w:lang w:val="es-ES"/>
        </w:rPr>
      </w:pPr>
      <w:hyperlink r:id="rId7" w:history="1">
        <w:r w:rsidR="00B866B0" w:rsidRPr="00EC141A">
          <w:rPr>
            <w:i/>
            <w:color w:val="0088C9"/>
            <w:u w:val="single"/>
            <w:lang w:val="es-ES"/>
          </w:rPr>
          <w:t>http://www.ncazeau.com</w:t>
        </w:r>
      </w:hyperlink>
    </w:p>
    <w:p w14:paraId="63BA7045" w14:textId="088C4CF1" w:rsidR="00B866B0" w:rsidRPr="00EC141A" w:rsidRDefault="00863129" w:rsidP="00B866B0">
      <w:pPr>
        <w:jc w:val="center"/>
        <w:rPr>
          <w:i/>
          <w:color w:val="0088C9"/>
          <w:u w:val="single"/>
          <w:lang w:val="es-ES"/>
        </w:rPr>
      </w:pPr>
      <w:hyperlink r:id="rId8" w:history="1">
        <w:r w:rsidR="00B866B0" w:rsidRPr="00EC141A">
          <w:rPr>
            <w:i/>
            <w:color w:val="0088C9"/>
            <w:u w:val="single"/>
            <w:lang w:val="es-ES"/>
          </w:rPr>
          <w:t>https://www.linkedin.com/company/18870197</w:t>
        </w:r>
      </w:hyperlink>
    </w:p>
    <w:p w14:paraId="6DA15D8A" w14:textId="77777777" w:rsidR="00B866B0" w:rsidRPr="00EC141A" w:rsidRDefault="00B866B0" w:rsidP="00B866B0">
      <w:pPr>
        <w:jc w:val="center"/>
        <w:rPr>
          <w:iCs/>
          <w:color w:val="0088C9"/>
          <w:lang w:val="es-ES"/>
        </w:rPr>
      </w:pPr>
    </w:p>
    <w:p w14:paraId="5D698A86" w14:textId="77777777" w:rsidR="00B866B0" w:rsidRPr="00EC141A" w:rsidRDefault="00B866B0" w:rsidP="00B866B0">
      <w:pPr>
        <w:jc w:val="center"/>
        <w:rPr>
          <w:iCs/>
          <w:color w:val="0088C9"/>
          <w:lang w:val="es-ES"/>
        </w:rPr>
      </w:pPr>
    </w:p>
    <w:p w14:paraId="3F8FA493" w14:textId="77777777" w:rsidR="00B866B0" w:rsidRPr="00EC141A" w:rsidRDefault="00B866B0" w:rsidP="00BA1849">
      <w:pPr>
        <w:jc w:val="both"/>
        <w:rPr>
          <w:iCs/>
          <w:color w:val="0088C9"/>
          <w:lang w:val="es-ES"/>
        </w:rPr>
      </w:pPr>
    </w:p>
    <w:p w14:paraId="29E97E81" w14:textId="747CC977" w:rsidR="0041646E" w:rsidRPr="00EC141A" w:rsidRDefault="0041646E" w:rsidP="00BA1849">
      <w:pPr>
        <w:jc w:val="both"/>
        <w:rPr>
          <w:iCs/>
          <w:color w:val="0088C9"/>
          <w:lang w:val="es-ES"/>
        </w:rPr>
      </w:pPr>
    </w:p>
    <w:sectPr w:rsidR="0041646E" w:rsidRPr="00EC141A" w:rsidSect="00377CDA">
      <w:headerReference w:type="default" r:id="rId9"/>
      <w:footerReference w:type="default" r:id="rId10"/>
      <w:headerReference w:type="first" r:id="rId11"/>
      <w:footerReference w:type="first" r:id="rId12"/>
      <w:pgSz w:w="11906" w:h="16838"/>
      <w:pgMar w:top="819" w:right="1417" w:bottom="1135" w:left="1417" w:header="567" w:footer="708" w:gutter="0"/>
      <w:pgBorders w:offsetFrom="page">
        <w:top w:val="single" w:sz="8" w:space="24" w:color="0088C9"/>
        <w:left w:val="single" w:sz="8" w:space="24" w:color="0088C9"/>
        <w:bottom w:val="single" w:sz="8" w:space="24" w:color="0088C9"/>
        <w:right w:val="single" w:sz="8" w:space="24" w:color="0088C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E8A5" w14:textId="77777777" w:rsidR="00863129" w:rsidRDefault="00863129" w:rsidP="00EA0A20">
      <w:pPr>
        <w:spacing w:after="0" w:line="240" w:lineRule="auto"/>
      </w:pPr>
      <w:r>
        <w:separator/>
      </w:r>
    </w:p>
  </w:endnote>
  <w:endnote w:type="continuationSeparator" w:id="0">
    <w:p w14:paraId="4F3ABAA3" w14:textId="77777777" w:rsidR="00863129" w:rsidRDefault="00863129" w:rsidP="00E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62961"/>
      <w:docPartObj>
        <w:docPartGallery w:val="Page Numbers (Bottom of Page)"/>
        <w:docPartUnique/>
      </w:docPartObj>
    </w:sdtPr>
    <w:sdtEndPr/>
    <w:sdtContent>
      <w:p w14:paraId="2B9ACE68" w14:textId="77777777" w:rsidR="005F2F7B" w:rsidRDefault="005F2F7B">
        <w:pPr>
          <w:pStyle w:val="Pieddepage"/>
          <w:jc w:val="center"/>
        </w:pPr>
        <w:r>
          <w:fldChar w:fldCharType="begin"/>
        </w:r>
        <w:r>
          <w:instrText>PAGE   \* MERGEFORMAT</w:instrText>
        </w:r>
        <w:r>
          <w:fldChar w:fldCharType="separate"/>
        </w:r>
        <w:r>
          <w:t>2</w:t>
        </w:r>
        <w:r>
          <w:fldChar w:fldCharType="end"/>
        </w:r>
      </w:p>
    </w:sdtContent>
  </w:sdt>
  <w:p w14:paraId="6CED24E0" w14:textId="77777777" w:rsidR="005F2F7B" w:rsidRDefault="005F2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50385"/>
      <w:docPartObj>
        <w:docPartGallery w:val="Page Numbers (Bottom of Page)"/>
        <w:docPartUnique/>
      </w:docPartObj>
    </w:sdtPr>
    <w:sdtEndPr/>
    <w:sdtContent>
      <w:p w14:paraId="7BC92FEC" w14:textId="77777777" w:rsidR="00B43DE9" w:rsidRDefault="00B43DE9" w:rsidP="00B43DE9">
        <w:pPr>
          <w:pStyle w:val="Pieddepage"/>
          <w:jc w:val="center"/>
        </w:pPr>
        <w:r>
          <w:fldChar w:fldCharType="begin"/>
        </w:r>
        <w:r>
          <w:instrText>PAGE   \* MERGEFORMAT</w:instrText>
        </w:r>
        <w:r>
          <w:fldChar w:fldCharType="separate"/>
        </w:r>
        <w:r>
          <w:t>2</w:t>
        </w:r>
        <w:r>
          <w:fldChar w:fldCharType="end"/>
        </w:r>
      </w:p>
    </w:sdtContent>
  </w:sdt>
  <w:p w14:paraId="70405C8E" w14:textId="77777777" w:rsidR="00B43DE9" w:rsidRDefault="00B43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FF694" w14:textId="77777777" w:rsidR="00863129" w:rsidRDefault="00863129" w:rsidP="00EA0A20">
      <w:pPr>
        <w:spacing w:after="0" w:line="240" w:lineRule="auto"/>
      </w:pPr>
      <w:r>
        <w:separator/>
      </w:r>
    </w:p>
  </w:footnote>
  <w:footnote w:type="continuationSeparator" w:id="0">
    <w:p w14:paraId="47AC9476" w14:textId="77777777" w:rsidR="00863129" w:rsidRDefault="00863129" w:rsidP="00EA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08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94"/>
    </w:tblGrid>
    <w:tr w:rsidR="00EA0A20" w:rsidRPr="00826BBC" w14:paraId="1ED44AC1" w14:textId="77777777" w:rsidTr="003578E7">
      <w:tc>
        <w:tcPr>
          <w:tcW w:w="7088" w:type="dxa"/>
        </w:tcPr>
        <w:p w14:paraId="5B27BBC5" w14:textId="77777777" w:rsidR="00EA0A20" w:rsidRDefault="00EA0A20" w:rsidP="00EA0A20">
          <w:pPr>
            <w:pStyle w:val="En-tte"/>
          </w:pPr>
          <w:r>
            <w:rPr>
              <w:noProof/>
            </w:rPr>
            <w:drawing>
              <wp:inline distT="0" distB="0" distL="0" distR="0" wp14:anchorId="22AF02F9" wp14:editId="2F11D83C">
                <wp:extent cx="2019300" cy="11347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c>
      <w:tc>
        <w:tcPr>
          <w:tcW w:w="2994" w:type="dxa"/>
        </w:tcPr>
        <w:p w14:paraId="1E5B5A9F" w14:textId="77777777" w:rsidR="00EA0A20" w:rsidRDefault="00EA0A20" w:rsidP="00EA0A20">
          <w:pPr>
            <w:pStyle w:val="En-tte"/>
            <w:jc w:val="right"/>
          </w:pPr>
        </w:p>
        <w:p w14:paraId="31B04860" w14:textId="60F87A74" w:rsidR="00EA0A20" w:rsidRPr="00826BBC" w:rsidRDefault="003578E7" w:rsidP="003578E7">
          <w:pPr>
            <w:pStyle w:val="En-tte"/>
            <w:ind w:left="-234" w:right="-105"/>
            <w:jc w:val="right"/>
            <w:rPr>
              <w:color w:val="0088C9"/>
              <w:sz w:val="24"/>
              <w:lang w:val="es-ES"/>
            </w:rPr>
          </w:pPr>
          <w:r>
            <w:rPr>
              <w:color w:val="0088C9"/>
              <w:sz w:val="24"/>
              <w:lang w:val="es-ES"/>
            </w:rPr>
            <w:t xml:space="preserve">COVID-19 </w:t>
          </w:r>
          <w:r w:rsidR="001411B5" w:rsidRPr="001411B5">
            <w:rPr>
              <w:color w:val="0088C9"/>
              <w:sz w:val="24"/>
              <w:lang w:val="es-ES"/>
            </w:rPr>
            <w:t>FICHA PRÁCTICA</w:t>
          </w:r>
          <w:r w:rsidR="001411B5" w:rsidRPr="001411B5">
            <w:rPr>
              <w:color w:val="0088C9"/>
              <w:sz w:val="24"/>
              <w:lang w:val="es-ES"/>
            </w:rPr>
            <w:t xml:space="preserve"> </w:t>
          </w:r>
          <w:r w:rsidR="00DD2A8E">
            <w:rPr>
              <w:color w:val="0088C9"/>
              <w:sz w:val="24"/>
              <w:lang w:val="es-ES"/>
            </w:rPr>
            <w:t>4</w:t>
          </w:r>
        </w:p>
        <w:p w14:paraId="52D550B5" w14:textId="77777777" w:rsidR="00B76310" w:rsidRPr="00826BBC" w:rsidRDefault="00B76310" w:rsidP="00EA0A20">
          <w:pPr>
            <w:pStyle w:val="En-tte"/>
            <w:jc w:val="right"/>
            <w:rPr>
              <w:caps/>
              <w:color w:val="0088C9"/>
              <w:sz w:val="24"/>
              <w:lang w:val="es-ES"/>
            </w:rPr>
          </w:pPr>
        </w:p>
        <w:p w14:paraId="5C8614AE" w14:textId="3DB929EC" w:rsidR="00B76310" w:rsidRPr="00826BBC" w:rsidRDefault="00B76310" w:rsidP="00EA0A20">
          <w:pPr>
            <w:pStyle w:val="En-tte"/>
            <w:jc w:val="right"/>
            <w:rPr>
              <w:caps/>
              <w:lang w:val="es-ES"/>
            </w:rPr>
          </w:pPr>
          <w:r w:rsidRPr="00826BBC">
            <w:rPr>
              <w:i/>
              <w:lang w:val="es-ES"/>
            </w:rPr>
            <w:t xml:space="preserve">http://www.ncazeau.com </w:t>
          </w:r>
          <w:hyperlink r:id="rId2" w:history="1">
            <w:r w:rsidR="00DD2A8E" w:rsidRPr="006221A1">
              <w:rPr>
                <w:rStyle w:val="Lienhypertexte"/>
                <w:i/>
                <w:lang w:val="es-ES"/>
              </w:rPr>
              <w:t>nathalie.cazeau@ncazeau.com</w:t>
            </w:r>
          </w:hyperlink>
        </w:p>
      </w:tc>
    </w:tr>
  </w:tbl>
  <w:p w14:paraId="51448509" w14:textId="77777777" w:rsidR="00EA0A20" w:rsidRPr="00826BBC" w:rsidRDefault="00EA0A20" w:rsidP="00EA0A20">
    <w:pPr>
      <w:pStyle w:val="En-tte"/>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D791" w14:textId="77777777" w:rsidR="00B76310" w:rsidRDefault="00B76310" w:rsidP="00B76310">
    <w:pPr>
      <w:pStyle w:val="En-tte"/>
      <w:ind w:left="3402"/>
    </w:pPr>
    <w:r>
      <w:rPr>
        <w:noProof/>
      </w:rPr>
      <w:drawing>
        <wp:inline distT="0" distB="0" distL="0" distR="0" wp14:anchorId="5AA13E1A" wp14:editId="76D85025">
          <wp:extent cx="2019300" cy="11347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91"/>
    </w:tblGrid>
    <w:tr w:rsidR="00B76310" w14:paraId="11F4474C" w14:textId="77777777" w:rsidTr="00AA1B31">
      <w:trPr>
        <w:trHeight w:val="80"/>
      </w:trPr>
      <w:tc>
        <w:tcPr>
          <w:tcW w:w="3397" w:type="dxa"/>
          <w:tcBorders>
            <w:right w:val="single" w:sz="4" w:space="0" w:color="auto"/>
          </w:tcBorders>
        </w:tcPr>
        <w:p w14:paraId="09FEC6F9" w14:textId="5F411555" w:rsidR="00B76310" w:rsidRPr="00826BBC" w:rsidRDefault="00B76310" w:rsidP="00B76310">
          <w:pPr>
            <w:pStyle w:val="En-tte"/>
            <w:jc w:val="center"/>
            <w:rPr>
              <w:i/>
              <w:lang w:val="en-US"/>
            </w:rPr>
          </w:pPr>
          <w:r w:rsidRPr="00826BBC">
            <w:rPr>
              <w:i/>
              <w:lang w:val="en-US"/>
            </w:rPr>
            <w:t xml:space="preserve">web : http://www.ncazeau.com  </w:t>
          </w:r>
        </w:p>
      </w:tc>
      <w:tc>
        <w:tcPr>
          <w:tcW w:w="3691" w:type="dxa"/>
          <w:tcBorders>
            <w:left w:val="single" w:sz="4" w:space="0" w:color="auto"/>
          </w:tcBorders>
        </w:tcPr>
        <w:p w14:paraId="0E23E426" w14:textId="77777777" w:rsidR="00B76310" w:rsidRDefault="00B76310" w:rsidP="00B76310">
          <w:pPr>
            <w:pStyle w:val="En-tte"/>
            <w:jc w:val="center"/>
            <w:rPr>
              <w:i/>
            </w:rPr>
          </w:pPr>
          <w:r w:rsidRPr="00EF0D0A">
            <w:rPr>
              <w:i/>
            </w:rPr>
            <w:t>email : nathalie.cazeau@ncazeau.com</w:t>
          </w:r>
        </w:p>
      </w:tc>
    </w:tr>
  </w:tbl>
  <w:p w14:paraId="635FD8A4" w14:textId="77777777" w:rsidR="00EA0A20" w:rsidRDefault="00EA0A20" w:rsidP="00B763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4D"/>
    <w:multiLevelType w:val="hybridMultilevel"/>
    <w:tmpl w:val="C40EE868"/>
    <w:lvl w:ilvl="0" w:tplc="FAD2D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D78FF"/>
    <w:multiLevelType w:val="hybridMultilevel"/>
    <w:tmpl w:val="B782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4756"/>
    <w:multiLevelType w:val="hybridMultilevel"/>
    <w:tmpl w:val="6ECAB752"/>
    <w:lvl w:ilvl="0" w:tplc="4254E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9867B8"/>
    <w:multiLevelType w:val="hybridMultilevel"/>
    <w:tmpl w:val="98543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A5D39"/>
    <w:multiLevelType w:val="hybridMultilevel"/>
    <w:tmpl w:val="294E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67D34"/>
    <w:multiLevelType w:val="hybridMultilevel"/>
    <w:tmpl w:val="6D8ABB84"/>
    <w:lvl w:ilvl="0" w:tplc="A6D47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AE79A3"/>
    <w:multiLevelType w:val="hybridMultilevel"/>
    <w:tmpl w:val="9CA28CE2"/>
    <w:lvl w:ilvl="0" w:tplc="CCBA7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30F2A"/>
    <w:multiLevelType w:val="hybridMultilevel"/>
    <w:tmpl w:val="CF2A321C"/>
    <w:lvl w:ilvl="0" w:tplc="A6D47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83BE9"/>
    <w:multiLevelType w:val="hybridMultilevel"/>
    <w:tmpl w:val="4BC8B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15A79"/>
    <w:multiLevelType w:val="hybridMultilevel"/>
    <w:tmpl w:val="46848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A239C7"/>
    <w:multiLevelType w:val="hybridMultilevel"/>
    <w:tmpl w:val="78B2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A873B4"/>
    <w:multiLevelType w:val="hybridMultilevel"/>
    <w:tmpl w:val="C6B0C688"/>
    <w:lvl w:ilvl="0" w:tplc="452E8A7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44D2466"/>
    <w:multiLevelType w:val="hybridMultilevel"/>
    <w:tmpl w:val="75E06E70"/>
    <w:lvl w:ilvl="0" w:tplc="00ECAF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340147"/>
    <w:multiLevelType w:val="hybridMultilevel"/>
    <w:tmpl w:val="4BE06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A40637"/>
    <w:multiLevelType w:val="hybridMultilevel"/>
    <w:tmpl w:val="28AE0336"/>
    <w:lvl w:ilvl="0" w:tplc="57AAA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6F20A8"/>
    <w:multiLevelType w:val="hybridMultilevel"/>
    <w:tmpl w:val="2346992E"/>
    <w:lvl w:ilvl="0" w:tplc="449ED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60101C"/>
    <w:multiLevelType w:val="hybridMultilevel"/>
    <w:tmpl w:val="B112726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6"/>
  </w:num>
  <w:num w:numId="5">
    <w:abstractNumId w:val="13"/>
  </w:num>
  <w:num w:numId="6">
    <w:abstractNumId w:val="8"/>
  </w:num>
  <w:num w:numId="7">
    <w:abstractNumId w:val="15"/>
  </w:num>
  <w:num w:numId="8">
    <w:abstractNumId w:val="10"/>
  </w:num>
  <w:num w:numId="9">
    <w:abstractNumId w:val="3"/>
  </w:num>
  <w:num w:numId="10">
    <w:abstractNumId w:val="11"/>
  </w:num>
  <w:num w:numId="11">
    <w:abstractNumId w:val="1"/>
  </w:num>
  <w:num w:numId="12">
    <w:abstractNumId w:val="9"/>
  </w:num>
  <w:num w:numId="13">
    <w:abstractNumId w:val="12"/>
  </w:num>
  <w:num w:numId="14">
    <w:abstractNumId w:val="5"/>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48"/>
    <w:rsid w:val="000078A5"/>
    <w:rsid w:val="00013098"/>
    <w:rsid w:val="00030EBE"/>
    <w:rsid w:val="00032EC6"/>
    <w:rsid w:val="000B7ED4"/>
    <w:rsid w:val="000C4297"/>
    <w:rsid w:val="000D6016"/>
    <w:rsid w:val="000F3079"/>
    <w:rsid w:val="00133683"/>
    <w:rsid w:val="001411B5"/>
    <w:rsid w:val="00150809"/>
    <w:rsid w:val="001911D2"/>
    <w:rsid w:val="00193777"/>
    <w:rsid w:val="001C1778"/>
    <w:rsid w:val="001F183D"/>
    <w:rsid w:val="0021295B"/>
    <w:rsid w:val="00241C2A"/>
    <w:rsid w:val="00244D2D"/>
    <w:rsid w:val="002654B1"/>
    <w:rsid w:val="00270FB2"/>
    <w:rsid w:val="002A5E1C"/>
    <w:rsid w:val="00326624"/>
    <w:rsid w:val="00343E60"/>
    <w:rsid w:val="00347B9F"/>
    <w:rsid w:val="003578E7"/>
    <w:rsid w:val="00377CDA"/>
    <w:rsid w:val="003E7309"/>
    <w:rsid w:val="00402B48"/>
    <w:rsid w:val="0041646E"/>
    <w:rsid w:val="00471B81"/>
    <w:rsid w:val="004726AD"/>
    <w:rsid w:val="0047773E"/>
    <w:rsid w:val="00477D1E"/>
    <w:rsid w:val="004A5F79"/>
    <w:rsid w:val="004E3B10"/>
    <w:rsid w:val="005113D6"/>
    <w:rsid w:val="00520306"/>
    <w:rsid w:val="00526187"/>
    <w:rsid w:val="00556696"/>
    <w:rsid w:val="005B4B8D"/>
    <w:rsid w:val="005F2F7B"/>
    <w:rsid w:val="00604359"/>
    <w:rsid w:val="00656F48"/>
    <w:rsid w:val="00683D0A"/>
    <w:rsid w:val="00692E7B"/>
    <w:rsid w:val="00693213"/>
    <w:rsid w:val="006A0F8F"/>
    <w:rsid w:val="006D66B6"/>
    <w:rsid w:val="006E41B3"/>
    <w:rsid w:val="007077EE"/>
    <w:rsid w:val="0071744C"/>
    <w:rsid w:val="00717F76"/>
    <w:rsid w:val="0074725A"/>
    <w:rsid w:val="00772402"/>
    <w:rsid w:val="00776A0F"/>
    <w:rsid w:val="007A77D9"/>
    <w:rsid w:val="007B61A4"/>
    <w:rsid w:val="007B7C33"/>
    <w:rsid w:val="007C203D"/>
    <w:rsid w:val="007F6C38"/>
    <w:rsid w:val="008055F1"/>
    <w:rsid w:val="00826BBC"/>
    <w:rsid w:val="00855944"/>
    <w:rsid w:val="00863129"/>
    <w:rsid w:val="00867A7C"/>
    <w:rsid w:val="00873992"/>
    <w:rsid w:val="008C2A37"/>
    <w:rsid w:val="008D01A9"/>
    <w:rsid w:val="008D0D6E"/>
    <w:rsid w:val="009211FE"/>
    <w:rsid w:val="009A5907"/>
    <w:rsid w:val="00A150C6"/>
    <w:rsid w:val="00A16D97"/>
    <w:rsid w:val="00A25F7D"/>
    <w:rsid w:val="00A54B30"/>
    <w:rsid w:val="00A57F31"/>
    <w:rsid w:val="00A77D23"/>
    <w:rsid w:val="00AA5ADD"/>
    <w:rsid w:val="00AA748C"/>
    <w:rsid w:val="00AB31EA"/>
    <w:rsid w:val="00AE63FC"/>
    <w:rsid w:val="00AE6B7B"/>
    <w:rsid w:val="00B06DCC"/>
    <w:rsid w:val="00B13EB5"/>
    <w:rsid w:val="00B43DE9"/>
    <w:rsid w:val="00B76310"/>
    <w:rsid w:val="00B866B0"/>
    <w:rsid w:val="00BA1849"/>
    <w:rsid w:val="00BC445F"/>
    <w:rsid w:val="00C07553"/>
    <w:rsid w:val="00C11092"/>
    <w:rsid w:val="00C126AC"/>
    <w:rsid w:val="00C1334B"/>
    <w:rsid w:val="00C304ED"/>
    <w:rsid w:val="00C32894"/>
    <w:rsid w:val="00C40D8F"/>
    <w:rsid w:val="00CC2484"/>
    <w:rsid w:val="00CC2E9B"/>
    <w:rsid w:val="00CD119B"/>
    <w:rsid w:val="00CD6C57"/>
    <w:rsid w:val="00CF561B"/>
    <w:rsid w:val="00CF5798"/>
    <w:rsid w:val="00D14378"/>
    <w:rsid w:val="00D16D75"/>
    <w:rsid w:val="00D256DC"/>
    <w:rsid w:val="00D44653"/>
    <w:rsid w:val="00D7645C"/>
    <w:rsid w:val="00DC0D18"/>
    <w:rsid w:val="00DC7C2E"/>
    <w:rsid w:val="00DD2A8E"/>
    <w:rsid w:val="00E954EE"/>
    <w:rsid w:val="00E97866"/>
    <w:rsid w:val="00EA0A20"/>
    <w:rsid w:val="00EA5D54"/>
    <w:rsid w:val="00EC141A"/>
    <w:rsid w:val="00F1301D"/>
    <w:rsid w:val="00F35F49"/>
    <w:rsid w:val="00F477E8"/>
    <w:rsid w:val="00F57884"/>
    <w:rsid w:val="00F6668D"/>
    <w:rsid w:val="00FB6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D269"/>
  <w15:chartTrackingRefBased/>
  <w15:docId w15:val="{691900F1-4ECC-4334-A1BC-061F439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E9B"/>
    <w:pPr>
      <w:ind w:left="720"/>
      <w:contextualSpacing/>
    </w:pPr>
  </w:style>
  <w:style w:type="character" w:styleId="Lienhypertexte">
    <w:name w:val="Hyperlink"/>
    <w:basedOn w:val="Policepardfaut"/>
    <w:uiPriority w:val="99"/>
    <w:unhideWhenUsed/>
    <w:rsid w:val="0071744C"/>
    <w:rPr>
      <w:color w:val="0563C1" w:themeColor="hyperlink"/>
      <w:u w:val="single"/>
    </w:rPr>
  </w:style>
  <w:style w:type="character" w:styleId="Mentionnonrsolue">
    <w:name w:val="Unresolved Mention"/>
    <w:basedOn w:val="Policepardfaut"/>
    <w:uiPriority w:val="99"/>
    <w:semiHidden/>
    <w:unhideWhenUsed/>
    <w:rsid w:val="0071744C"/>
    <w:rPr>
      <w:color w:val="605E5C"/>
      <w:shd w:val="clear" w:color="auto" w:fill="E1DFDD"/>
    </w:rPr>
  </w:style>
  <w:style w:type="paragraph" w:styleId="Textedebulles">
    <w:name w:val="Balloon Text"/>
    <w:basedOn w:val="Normal"/>
    <w:link w:val="TextedebullesCar"/>
    <w:uiPriority w:val="99"/>
    <w:semiHidden/>
    <w:unhideWhenUsed/>
    <w:rsid w:val="00A54B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B30"/>
    <w:rPr>
      <w:rFonts w:ascii="Segoe UI" w:hAnsi="Segoe UI" w:cs="Segoe UI"/>
      <w:sz w:val="18"/>
      <w:szCs w:val="18"/>
    </w:rPr>
  </w:style>
  <w:style w:type="paragraph" w:styleId="En-tte">
    <w:name w:val="header"/>
    <w:basedOn w:val="Normal"/>
    <w:link w:val="En-tteCar"/>
    <w:uiPriority w:val="99"/>
    <w:unhideWhenUsed/>
    <w:rsid w:val="00EA0A20"/>
    <w:pPr>
      <w:tabs>
        <w:tab w:val="center" w:pos="4536"/>
        <w:tab w:val="right" w:pos="9072"/>
      </w:tabs>
      <w:spacing w:after="0" w:line="240" w:lineRule="auto"/>
    </w:pPr>
  </w:style>
  <w:style w:type="character" w:customStyle="1" w:styleId="En-tteCar">
    <w:name w:val="En-tête Car"/>
    <w:basedOn w:val="Policepardfaut"/>
    <w:link w:val="En-tte"/>
    <w:uiPriority w:val="99"/>
    <w:rsid w:val="00EA0A20"/>
  </w:style>
  <w:style w:type="paragraph" w:styleId="Pieddepage">
    <w:name w:val="footer"/>
    <w:basedOn w:val="Normal"/>
    <w:link w:val="PieddepageCar"/>
    <w:uiPriority w:val="99"/>
    <w:unhideWhenUsed/>
    <w:rsid w:val="00EA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A20"/>
  </w:style>
  <w:style w:type="table" w:styleId="Grilledutableau">
    <w:name w:val="Table Grid"/>
    <w:basedOn w:val="TableauNormal"/>
    <w:uiPriority w:val="39"/>
    <w:rsid w:val="00EA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7A7C"/>
    <w:rPr>
      <w:sz w:val="16"/>
      <w:szCs w:val="16"/>
    </w:rPr>
  </w:style>
  <w:style w:type="paragraph" w:styleId="Commentaire">
    <w:name w:val="annotation text"/>
    <w:basedOn w:val="Normal"/>
    <w:link w:val="CommentaireCar"/>
    <w:uiPriority w:val="99"/>
    <w:semiHidden/>
    <w:unhideWhenUsed/>
    <w:rsid w:val="00867A7C"/>
    <w:pPr>
      <w:spacing w:line="240" w:lineRule="auto"/>
    </w:pPr>
    <w:rPr>
      <w:sz w:val="20"/>
      <w:szCs w:val="20"/>
    </w:rPr>
  </w:style>
  <w:style w:type="character" w:customStyle="1" w:styleId="CommentaireCar">
    <w:name w:val="Commentaire Car"/>
    <w:basedOn w:val="Policepardfaut"/>
    <w:link w:val="Commentaire"/>
    <w:uiPriority w:val="99"/>
    <w:semiHidden/>
    <w:rsid w:val="00867A7C"/>
    <w:rPr>
      <w:sz w:val="20"/>
      <w:szCs w:val="20"/>
    </w:rPr>
  </w:style>
  <w:style w:type="paragraph" w:styleId="Objetducommentaire">
    <w:name w:val="annotation subject"/>
    <w:basedOn w:val="Commentaire"/>
    <w:next w:val="Commentaire"/>
    <w:link w:val="ObjetducommentaireCar"/>
    <w:uiPriority w:val="99"/>
    <w:semiHidden/>
    <w:unhideWhenUsed/>
    <w:rsid w:val="00867A7C"/>
    <w:rPr>
      <w:b/>
      <w:bCs/>
    </w:rPr>
  </w:style>
  <w:style w:type="character" w:customStyle="1" w:styleId="ObjetducommentaireCar">
    <w:name w:val="Objet du commentaire Car"/>
    <w:basedOn w:val="CommentaireCar"/>
    <w:link w:val="Objetducommentaire"/>
    <w:uiPriority w:val="99"/>
    <w:semiHidden/>
    <w:rsid w:val="0086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59">
      <w:bodyDiv w:val="1"/>
      <w:marLeft w:val="0"/>
      <w:marRight w:val="0"/>
      <w:marTop w:val="0"/>
      <w:marBottom w:val="0"/>
      <w:divBdr>
        <w:top w:val="none" w:sz="0" w:space="0" w:color="auto"/>
        <w:left w:val="none" w:sz="0" w:space="0" w:color="auto"/>
        <w:bottom w:val="none" w:sz="0" w:space="0" w:color="auto"/>
        <w:right w:val="none" w:sz="0" w:space="0" w:color="auto"/>
      </w:divBdr>
    </w:div>
    <w:div w:id="264389305">
      <w:bodyDiv w:val="1"/>
      <w:marLeft w:val="0"/>
      <w:marRight w:val="0"/>
      <w:marTop w:val="0"/>
      <w:marBottom w:val="0"/>
      <w:divBdr>
        <w:top w:val="none" w:sz="0" w:space="0" w:color="auto"/>
        <w:left w:val="none" w:sz="0" w:space="0" w:color="auto"/>
        <w:bottom w:val="none" w:sz="0" w:space="0" w:color="auto"/>
        <w:right w:val="none" w:sz="0" w:space="0" w:color="auto"/>
      </w:divBdr>
    </w:div>
    <w:div w:id="413668362">
      <w:bodyDiv w:val="1"/>
      <w:marLeft w:val="0"/>
      <w:marRight w:val="0"/>
      <w:marTop w:val="0"/>
      <w:marBottom w:val="0"/>
      <w:divBdr>
        <w:top w:val="none" w:sz="0" w:space="0" w:color="auto"/>
        <w:left w:val="none" w:sz="0" w:space="0" w:color="auto"/>
        <w:bottom w:val="none" w:sz="0" w:space="0" w:color="auto"/>
        <w:right w:val="none" w:sz="0" w:space="0" w:color="auto"/>
      </w:divBdr>
    </w:div>
    <w:div w:id="910971423">
      <w:bodyDiv w:val="1"/>
      <w:marLeft w:val="0"/>
      <w:marRight w:val="0"/>
      <w:marTop w:val="0"/>
      <w:marBottom w:val="0"/>
      <w:divBdr>
        <w:top w:val="none" w:sz="0" w:space="0" w:color="auto"/>
        <w:left w:val="none" w:sz="0" w:space="0" w:color="auto"/>
        <w:bottom w:val="none" w:sz="0" w:space="0" w:color="auto"/>
        <w:right w:val="none" w:sz="0" w:space="0" w:color="auto"/>
      </w:divBdr>
      <w:divsChild>
        <w:div w:id="1884051003">
          <w:marLeft w:val="0"/>
          <w:marRight w:val="0"/>
          <w:marTop w:val="0"/>
          <w:marBottom w:val="0"/>
          <w:divBdr>
            <w:top w:val="none" w:sz="0" w:space="0" w:color="auto"/>
            <w:left w:val="none" w:sz="0" w:space="0" w:color="auto"/>
            <w:bottom w:val="none" w:sz="0" w:space="0" w:color="auto"/>
            <w:right w:val="none" w:sz="0" w:space="0" w:color="auto"/>
          </w:divBdr>
        </w:div>
      </w:divsChild>
    </w:div>
    <w:div w:id="1454784393">
      <w:bodyDiv w:val="1"/>
      <w:marLeft w:val="0"/>
      <w:marRight w:val="0"/>
      <w:marTop w:val="0"/>
      <w:marBottom w:val="0"/>
      <w:divBdr>
        <w:top w:val="none" w:sz="0" w:space="0" w:color="auto"/>
        <w:left w:val="none" w:sz="0" w:space="0" w:color="auto"/>
        <w:bottom w:val="none" w:sz="0" w:space="0" w:color="auto"/>
        <w:right w:val="none" w:sz="0" w:space="0" w:color="auto"/>
      </w:divBdr>
    </w:div>
    <w:div w:id="1618557638">
      <w:bodyDiv w:val="1"/>
      <w:marLeft w:val="0"/>
      <w:marRight w:val="0"/>
      <w:marTop w:val="0"/>
      <w:marBottom w:val="0"/>
      <w:divBdr>
        <w:top w:val="none" w:sz="0" w:space="0" w:color="auto"/>
        <w:left w:val="none" w:sz="0" w:space="0" w:color="auto"/>
        <w:bottom w:val="none" w:sz="0" w:space="0" w:color="auto"/>
        <w:right w:val="none" w:sz="0" w:space="0" w:color="auto"/>
      </w:divBdr>
    </w:div>
    <w:div w:id="16827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8870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ze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nathalie.cazeau@ncazeau.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6</Pages>
  <Words>1522</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Christopher JACQUET-CORTÈS</cp:lastModifiedBy>
  <cp:revision>51</cp:revision>
  <cp:lastPrinted>2019-07-03T10:25:00Z</cp:lastPrinted>
  <dcterms:created xsi:type="dcterms:W3CDTF">2019-02-04T17:47:00Z</dcterms:created>
  <dcterms:modified xsi:type="dcterms:W3CDTF">2020-03-31T09:43:00Z</dcterms:modified>
</cp:coreProperties>
</file>