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FE55E" w14:textId="77777777" w:rsidR="00B76310" w:rsidRPr="008E059D" w:rsidRDefault="00B76310" w:rsidP="00B76310">
      <w:pPr>
        <w:pBdr>
          <w:top w:val="single" w:sz="8" w:space="1" w:color="auto"/>
          <w:left w:val="single" w:sz="8" w:space="4" w:color="auto"/>
          <w:bottom w:val="single" w:sz="8" w:space="1" w:color="auto"/>
          <w:right w:val="single" w:sz="8" w:space="4" w:color="auto"/>
        </w:pBdr>
        <w:shd w:val="clear" w:color="auto" w:fill="0088C9"/>
        <w:jc w:val="center"/>
        <w:rPr>
          <w:b/>
          <w:color w:val="FFFFFF" w:themeColor="background1"/>
          <w:sz w:val="10"/>
          <w:lang w:val="en-GB"/>
        </w:rPr>
      </w:pPr>
    </w:p>
    <w:p w14:paraId="109F056B" w14:textId="59850C32" w:rsidR="00B76310" w:rsidRPr="008E059D" w:rsidRDefault="00282945" w:rsidP="00B76310">
      <w:pPr>
        <w:pBdr>
          <w:top w:val="single" w:sz="8" w:space="1" w:color="auto"/>
          <w:left w:val="single" w:sz="8" w:space="4" w:color="auto"/>
          <w:bottom w:val="single" w:sz="8" w:space="1" w:color="auto"/>
          <w:right w:val="single" w:sz="8" w:space="4" w:color="auto"/>
        </w:pBdr>
        <w:shd w:val="clear" w:color="auto" w:fill="0088C9"/>
        <w:jc w:val="center"/>
        <w:rPr>
          <w:b/>
          <w:color w:val="FFFFFF" w:themeColor="background1"/>
          <w:sz w:val="28"/>
          <w:lang w:val="en-GB"/>
        </w:rPr>
      </w:pPr>
      <w:r w:rsidRPr="008E059D">
        <w:rPr>
          <w:b/>
          <w:color w:val="FFFFFF" w:themeColor="background1"/>
          <w:sz w:val="28"/>
          <w:lang w:val="en-GB"/>
        </w:rPr>
        <w:t>PRACTICLE DATA SHEET</w:t>
      </w:r>
      <w:r w:rsidRPr="008E059D">
        <w:rPr>
          <w:b/>
          <w:caps/>
          <w:color w:val="FFFFFF" w:themeColor="background1"/>
          <w:sz w:val="28"/>
          <w:lang w:val="en-GB"/>
        </w:rPr>
        <w:t xml:space="preserve"> </w:t>
      </w:r>
      <w:r w:rsidRPr="008E059D">
        <w:rPr>
          <w:b/>
          <w:caps/>
          <w:color w:val="FFFFFF" w:themeColor="background1"/>
          <w:sz w:val="28"/>
          <w:lang w:val="en-GB"/>
        </w:rPr>
        <w:br/>
        <w:t>SPECIAL EMERGENCY MEASURES covid-19</w:t>
      </w:r>
      <w:r w:rsidR="003578E7" w:rsidRPr="008E059D">
        <w:rPr>
          <w:b/>
          <w:caps/>
          <w:color w:val="FFFFFF" w:themeColor="background1"/>
          <w:sz w:val="28"/>
          <w:lang w:val="en-GB"/>
        </w:rPr>
        <w:br/>
      </w:r>
      <w:r w:rsidR="00B76310" w:rsidRPr="008E059D">
        <w:rPr>
          <w:b/>
          <w:caps/>
          <w:color w:val="FFFFFF" w:themeColor="background1"/>
          <w:sz w:val="28"/>
          <w:lang w:val="en-GB"/>
        </w:rPr>
        <w:t>n°</w:t>
      </w:r>
      <w:r w:rsidR="00AA748C" w:rsidRPr="008E059D">
        <w:rPr>
          <w:b/>
          <w:caps/>
          <w:color w:val="FFFFFF" w:themeColor="background1"/>
          <w:sz w:val="28"/>
          <w:lang w:val="en-GB"/>
        </w:rPr>
        <w:t>4</w:t>
      </w:r>
    </w:p>
    <w:p w14:paraId="49E23DEC" w14:textId="75B6DBCC" w:rsidR="007A77D9" w:rsidRPr="008E059D" w:rsidRDefault="00282945" w:rsidP="00772402">
      <w:pPr>
        <w:pBdr>
          <w:top w:val="single" w:sz="8" w:space="1" w:color="auto"/>
          <w:left w:val="single" w:sz="8" w:space="4" w:color="auto"/>
          <w:bottom w:val="single" w:sz="8" w:space="1" w:color="auto"/>
          <w:right w:val="single" w:sz="8" w:space="4" w:color="auto"/>
        </w:pBdr>
        <w:shd w:val="clear" w:color="auto" w:fill="0088C9"/>
        <w:jc w:val="center"/>
        <w:rPr>
          <w:i/>
          <w:color w:val="0088C9"/>
          <w:sz w:val="8"/>
          <w:lang w:val="en-GB"/>
        </w:rPr>
      </w:pPr>
      <w:r w:rsidRPr="008E059D">
        <w:rPr>
          <w:b/>
          <w:color w:val="FFFFFF" w:themeColor="background1"/>
          <w:sz w:val="32"/>
          <w:u w:val="single"/>
          <w:lang w:val="en-GB"/>
        </w:rPr>
        <w:t>Continuity of commercial contract</w:t>
      </w:r>
      <w:r w:rsidRPr="008E059D">
        <w:rPr>
          <w:b/>
          <w:color w:val="FFFFFF" w:themeColor="background1"/>
          <w:sz w:val="32"/>
          <w:u w:val="single"/>
          <w:lang w:val="en-GB"/>
        </w:rPr>
        <w:t>s</w:t>
      </w:r>
    </w:p>
    <w:p w14:paraId="6D4226EE" w14:textId="77777777" w:rsidR="00772402" w:rsidRPr="008E059D" w:rsidRDefault="00772402" w:rsidP="008055F1">
      <w:pPr>
        <w:jc w:val="both"/>
        <w:rPr>
          <w:b/>
          <w:bCs/>
          <w:iCs/>
          <w:color w:val="0088C9"/>
          <w:sz w:val="24"/>
          <w:szCs w:val="24"/>
          <w:u w:val="single"/>
          <w:lang w:val="en-GB"/>
        </w:rPr>
      </w:pPr>
    </w:p>
    <w:p w14:paraId="05F54233" w14:textId="2F558747" w:rsidR="003578E7" w:rsidRPr="008E059D" w:rsidRDefault="00282945" w:rsidP="008055F1">
      <w:pPr>
        <w:jc w:val="both"/>
        <w:rPr>
          <w:b/>
          <w:bCs/>
          <w:iCs/>
          <w:color w:val="0088C9"/>
          <w:sz w:val="24"/>
          <w:szCs w:val="24"/>
          <w:u w:val="single"/>
          <w:lang w:val="en-GB"/>
        </w:rPr>
      </w:pPr>
      <w:r w:rsidRPr="008E059D">
        <w:rPr>
          <w:b/>
          <w:bCs/>
          <w:iCs/>
          <w:color w:val="0088C9"/>
          <w:sz w:val="24"/>
          <w:szCs w:val="24"/>
          <w:u w:val="single"/>
          <w:lang w:val="en-GB"/>
        </w:rPr>
        <w:t>Subject:</w:t>
      </w:r>
      <w:r w:rsidR="003578E7" w:rsidRPr="008E059D">
        <w:rPr>
          <w:b/>
          <w:bCs/>
          <w:iCs/>
          <w:color w:val="0088C9"/>
          <w:sz w:val="24"/>
          <w:szCs w:val="24"/>
          <w:u w:val="single"/>
          <w:lang w:val="en-GB"/>
        </w:rPr>
        <w:t xml:space="preserve"> </w:t>
      </w:r>
      <w:r w:rsidRPr="008E059D">
        <w:rPr>
          <w:b/>
          <w:bCs/>
          <w:iCs/>
          <w:color w:val="0088C9"/>
          <w:sz w:val="24"/>
          <w:szCs w:val="24"/>
          <w:u w:val="single"/>
          <w:lang w:val="en-GB"/>
        </w:rPr>
        <w:t>Contracts</w:t>
      </w:r>
      <w:r w:rsidR="00AA748C" w:rsidRPr="008E059D">
        <w:rPr>
          <w:b/>
          <w:bCs/>
          <w:iCs/>
          <w:color w:val="0088C9"/>
          <w:sz w:val="24"/>
          <w:szCs w:val="24"/>
          <w:u w:val="single"/>
          <w:lang w:val="en-GB"/>
        </w:rPr>
        <w:t xml:space="preserve"> - Commercial</w:t>
      </w:r>
      <w:bookmarkStart w:id="0" w:name="_GoBack"/>
      <w:bookmarkEnd w:id="0"/>
    </w:p>
    <w:p w14:paraId="04847669" w14:textId="6F8D9E27" w:rsidR="003578E7" w:rsidRPr="008E059D" w:rsidRDefault="00282945" w:rsidP="008055F1">
      <w:pPr>
        <w:jc w:val="both"/>
        <w:rPr>
          <w:b/>
          <w:bCs/>
          <w:iCs/>
          <w:color w:val="0088C9"/>
          <w:sz w:val="24"/>
          <w:szCs w:val="24"/>
          <w:u w:val="single"/>
          <w:lang w:val="en-GB"/>
        </w:rPr>
      </w:pPr>
      <w:r w:rsidRPr="008E059D">
        <w:rPr>
          <w:b/>
          <w:bCs/>
          <w:iCs/>
          <w:color w:val="0088C9"/>
          <w:sz w:val="24"/>
          <w:szCs w:val="24"/>
          <w:u w:val="single"/>
          <w:lang w:val="en-GB"/>
        </w:rPr>
        <w:t>Theme</w:t>
      </w:r>
      <w:r w:rsidR="003578E7" w:rsidRPr="008E059D">
        <w:rPr>
          <w:b/>
          <w:bCs/>
          <w:iCs/>
          <w:color w:val="0088C9"/>
          <w:sz w:val="24"/>
          <w:szCs w:val="24"/>
          <w:u w:val="single"/>
          <w:lang w:val="en-GB"/>
        </w:rPr>
        <w:t xml:space="preserve">: </w:t>
      </w:r>
      <w:r w:rsidRPr="008E059D">
        <w:rPr>
          <w:b/>
          <w:bCs/>
          <w:iCs/>
          <w:color w:val="0088C9"/>
          <w:sz w:val="24"/>
          <w:szCs w:val="24"/>
          <w:u w:val="single"/>
          <w:lang w:val="en-GB"/>
        </w:rPr>
        <w:t>Continuity of commercial contracts</w:t>
      </w:r>
    </w:p>
    <w:p w14:paraId="075562AC" w14:textId="7D8D343F" w:rsidR="003578E7" w:rsidRPr="008E059D" w:rsidRDefault="003578E7" w:rsidP="008055F1">
      <w:pPr>
        <w:jc w:val="both"/>
        <w:rPr>
          <w:b/>
          <w:bCs/>
          <w:iCs/>
          <w:color w:val="0088C9"/>
          <w:sz w:val="24"/>
          <w:szCs w:val="24"/>
          <w:u w:val="single"/>
          <w:lang w:val="en-GB"/>
        </w:rPr>
      </w:pPr>
      <w:r w:rsidRPr="008E059D">
        <w:rPr>
          <w:b/>
          <w:bCs/>
          <w:iCs/>
          <w:color w:val="0088C9"/>
          <w:sz w:val="24"/>
          <w:szCs w:val="24"/>
          <w:u w:val="single"/>
          <w:lang w:val="en-GB"/>
        </w:rPr>
        <w:t>Date</w:t>
      </w:r>
      <w:r w:rsidR="00193777" w:rsidRPr="008E059D">
        <w:rPr>
          <w:b/>
          <w:bCs/>
          <w:iCs/>
          <w:color w:val="0088C9"/>
          <w:sz w:val="24"/>
          <w:szCs w:val="24"/>
          <w:u w:val="single"/>
          <w:lang w:val="en-GB"/>
        </w:rPr>
        <w:t xml:space="preserve"> </w:t>
      </w:r>
      <w:r w:rsidRPr="008E059D">
        <w:rPr>
          <w:b/>
          <w:bCs/>
          <w:iCs/>
          <w:color w:val="0088C9"/>
          <w:sz w:val="24"/>
          <w:szCs w:val="24"/>
          <w:u w:val="single"/>
          <w:lang w:val="en-GB"/>
        </w:rPr>
        <w:t xml:space="preserve">: </w:t>
      </w:r>
      <w:r w:rsidR="00282945" w:rsidRPr="008E059D">
        <w:rPr>
          <w:b/>
          <w:bCs/>
          <w:iCs/>
          <w:color w:val="0088C9"/>
          <w:sz w:val="24"/>
          <w:szCs w:val="24"/>
          <w:u w:val="single"/>
          <w:lang w:val="en-GB"/>
        </w:rPr>
        <w:t>03</w:t>
      </w:r>
      <w:r w:rsidR="00A77D23" w:rsidRPr="008E059D">
        <w:rPr>
          <w:b/>
          <w:bCs/>
          <w:iCs/>
          <w:color w:val="0088C9"/>
          <w:sz w:val="24"/>
          <w:szCs w:val="24"/>
          <w:u w:val="single"/>
          <w:lang w:val="en-GB"/>
        </w:rPr>
        <w:t>/</w:t>
      </w:r>
      <w:r w:rsidR="00282945" w:rsidRPr="008E059D">
        <w:rPr>
          <w:b/>
          <w:bCs/>
          <w:iCs/>
          <w:color w:val="0088C9"/>
          <w:sz w:val="24"/>
          <w:szCs w:val="24"/>
          <w:u w:val="single"/>
          <w:lang w:val="en-GB"/>
        </w:rPr>
        <w:t>30</w:t>
      </w:r>
      <w:r w:rsidRPr="008E059D">
        <w:rPr>
          <w:b/>
          <w:bCs/>
          <w:iCs/>
          <w:color w:val="0088C9"/>
          <w:sz w:val="24"/>
          <w:szCs w:val="24"/>
          <w:u w:val="single"/>
          <w:lang w:val="en-GB"/>
        </w:rPr>
        <w:t>/2020</w:t>
      </w:r>
    </w:p>
    <w:p w14:paraId="26167F9C" w14:textId="27E5FBFF" w:rsidR="00282945" w:rsidRPr="008E059D" w:rsidRDefault="00282945" w:rsidP="00282945">
      <w:pPr>
        <w:jc w:val="both"/>
        <w:rPr>
          <w:i/>
          <w:color w:val="0088C9"/>
          <w:lang w:val="en-GB"/>
        </w:rPr>
      </w:pPr>
      <w:r w:rsidRPr="008E059D">
        <w:rPr>
          <w:i/>
          <w:color w:val="0088C9"/>
          <w:lang w:val="en-GB"/>
        </w:rPr>
        <w:t>The Covid-19 pandemic has significant consequences on economic activity, which raises the problem of continuity and execution of contracts, particularly commercial contracts.</w:t>
      </w:r>
    </w:p>
    <w:p w14:paraId="74602F7D" w14:textId="3EB9E4DC" w:rsidR="00772402" w:rsidRPr="008E059D" w:rsidRDefault="00282945" w:rsidP="00282945">
      <w:pPr>
        <w:jc w:val="both"/>
        <w:rPr>
          <w:i/>
          <w:color w:val="0088C9"/>
          <w:lang w:val="en-GB"/>
        </w:rPr>
      </w:pPr>
      <w:r w:rsidRPr="008E059D">
        <w:rPr>
          <w:i/>
          <w:color w:val="0088C9"/>
          <w:lang w:val="en-GB"/>
        </w:rPr>
        <w:t xml:space="preserve">Several </w:t>
      </w:r>
      <w:r w:rsidRPr="008E059D">
        <w:rPr>
          <w:i/>
          <w:color w:val="0088C9"/>
          <w:lang w:val="en-GB"/>
        </w:rPr>
        <w:t>issues</w:t>
      </w:r>
      <w:r w:rsidRPr="008E059D">
        <w:rPr>
          <w:i/>
          <w:color w:val="0088C9"/>
          <w:lang w:val="en-GB"/>
        </w:rPr>
        <w:t xml:space="preserve"> are at stake:</w:t>
      </w:r>
    </w:p>
    <w:p w14:paraId="4FE0C884" w14:textId="24DE20BD" w:rsidR="00282945" w:rsidRPr="008E059D" w:rsidRDefault="00282945" w:rsidP="00282945">
      <w:pPr>
        <w:pStyle w:val="Paragraphedeliste"/>
        <w:numPr>
          <w:ilvl w:val="0"/>
          <w:numId w:val="14"/>
        </w:numPr>
        <w:jc w:val="both"/>
        <w:rPr>
          <w:i/>
          <w:color w:val="0088C9"/>
          <w:lang w:val="en-GB"/>
        </w:rPr>
      </w:pPr>
      <w:r w:rsidRPr="008E059D">
        <w:rPr>
          <w:i/>
          <w:color w:val="0088C9"/>
          <w:lang w:val="en-GB"/>
        </w:rPr>
        <w:t>contractual deadlines that expire during the state of health emergency ;</w:t>
      </w:r>
    </w:p>
    <w:p w14:paraId="7D794C30" w14:textId="16C7264A" w:rsidR="00282945" w:rsidRPr="008E059D" w:rsidRDefault="00282945" w:rsidP="00282945">
      <w:pPr>
        <w:pStyle w:val="Paragraphedeliste"/>
        <w:numPr>
          <w:ilvl w:val="0"/>
          <w:numId w:val="14"/>
        </w:numPr>
        <w:jc w:val="both"/>
        <w:rPr>
          <w:i/>
          <w:color w:val="0088C9"/>
          <w:lang w:val="en-GB"/>
        </w:rPr>
      </w:pPr>
      <w:r w:rsidRPr="008E059D">
        <w:rPr>
          <w:i/>
          <w:color w:val="0088C9"/>
          <w:lang w:val="en-GB"/>
        </w:rPr>
        <w:t xml:space="preserve">the </w:t>
      </w:r>
      <w:r w:rsidRPr="008E059D">
        <w:rPr>
          <w:i/>
          <w:color w:val="0088C9"/>
          <w:lang w:val="en-GB"/>
        </w:rPr>
        <w:t>claim</w:t>
      </w:r>
      <w:r w:rsidRPr="008E059D">
        <w:rPr>
          <w:i/>
          <w:color w:val="0088C9"/>
          <w:lang w:val="en-GB"/>
        </w:rPr>
        <w:t xml:space="preserve"> of force </w:t>
      </w:r>
      <w:r w:rsidRPr="008E059D">
        <w:rPr>
          <w:i/>
          <w:color w:val="0088C9"/>
          <w:lang w:val="en-GB"/>
        </w:rPr>
        <w:t>majeure ;</w:t>
      </w:r>
    </w:p>
    <w:p w14:paraId="316CBE48" w14:textId="185386B5" w:rsidR="00282945" w:rsidRPr="008E059D" w:rsidRDefault="00282945" w:rsidP="00282945">
      <w:pPr>
        <w:pStyle w:val="Paragraphedeliste"/>
        <w:numPr>
          <w:ilvl w:val="0"/>
          <w:numId w:val="14"/>
        </w:numPr>
        <w:jc w:val="both"/>
        <w:rPr>
          <w:i/>
          <w:color w:val="0088C9"/>
          <w:lang w:val="en-GB"/>
        </w:rPr>
      </w:pPr>
      <w:r w:rsidRPr="008E059D">
        <w:rPr>
          <w:i/>
          <w:color w:val="0088C9"/>
          <w:lang w:val="en-GB"/>
        </w:rPr>
        <w:t>recourse to the contingency mechanism;</w:t>
      </w:r>
    </w:p>
    <w:p w14:paraId="6AA73162" w14:textId="427B612D" w:rsidR="00772402" w:rsidRPr="008E059D" w:rsidRDefault="00282945" w:rsidP="00282945">
      <w:pPr>
        <w:pStyle w:val="Paragraphedeliste"/>
        <w:numPr>
          <w:ilvl w:val="0"/>
          <w:numId w:val="14"/>
        </w:numPr>
        <w:jc w:val="both"/>
        <w:rPr>
          <w:i/>
          <w:color w:val="0088C9"/>
          <w:lang w:val="en-GB"/>
        </w:rPr>
      </w:pPr>
      <w:r w:rsidRPr="008E059D">
        <w:rPr>
          <w:i/>
          <w:color w:val="0088C9"/>
          <w:lang w:val="en-GB"/>
        </w:rPr>
        <w:t>the execution exception.</w:t>
      </w:r>
    </w:p>
    <w:p w14:paraId="2C7B16D8" w14:textId="77777777" w:rsidR="00A77D23" w:rsidRPr="008E059D" w:rsidRDefault="00A77D23" w:rsidP="00E97866">
      <w:pPr>
        <w:jc w:val="both"/>
        <w:rPr>
          <w:b/>
          <w:color w:val="0088C9"/>
          <w:sz w:val="28"/>
          <w:u w:val="single"/>
          <w:lang w:val="en-GB"/>
        </w:rPr>
      </w:pPr>
    </w:p>
    <w:p w14:paraId="26FCD9AD" w14:textId="060F60A6" w:rsidR="00E97866" w:rsidRPr="008E059D" w:rsidRDefault="00282945" w:rsidP="00E97866">
      <w:pPr>
        <w:jc w:val="both"/>
        <w:rPr>
          <w:b/>
          <w:color w:val="0088C9"/>
          <w:sz w:val="28"/>
          <w:u w:val="single"/>
          <w:lang w:val="en-GB"/>
        </w:rPr>
      </w:pPr>
      <w:r w:rsidRPr="008E059D">
        <w:rPr>
          <w:b/>
          <w:color w:val="0088C9"/>
          <w:sz w:val="28"/>
          <w:u w:val="single"/>
          <w:lang w:val="en-GB"/>
        </w:rPr>
        <w:t>Contractual deadlines and deadlines during a state of emergency</w:t>
      </w:r>
    </w:p>
    <w:p w14:paraId="727B3A01" w14:textId="77777777" w:rsidR="00282945" w:rsidRPr="008E059D" w:rsidRDefault="00282945" w:rsidP="00282945">
      <w:pPr>
        <w:jc w:val="both"/>
        <w:rPr>
          <w:lang w:val="en-GB"/>
        </w:rPr>
      </w:pPr>
      <w:r w:rsidRPr="008E059D">
        <w:rPr>
          <w:lang w:val="en-GB"/>
        </w:rPr>
        <w:t>As a matter of principle, contractual time limits remain unchanged and each situation must therefore be carefully analysed to establish whether any of the following mechanisms can be invoked either to avoid non-performance or to mitigate the consequences of such non-performance.</w:t>
      </w:r>
    </w:p>
    <w:p w14:paraId="4AC5A138" w14:textId="21C94B46" w:rsidR="00772402" w:rsidRPr="008E059D" w:rsidRDefault="00282945" w:rsidP="00282945">
      <w:pPr>
        <w:jc w:val="both"/>
        <w:rPr>
          <w:lang w:val="en-GB"/>
        </w:rPr>
      </w:pPr>
      <w:r w:rsidRPr="008E059D">
        <w:rPr>
          <w:lang w:val="en-GB"/>
        </w:rPr>
        <w:t xml:space="preserve">However, among the emergency measures taken by the Government by </w:t>
      </w:r>
      <w:r w:rsidRPr="008E059D">
        <w:rPr>
          <w:lang w:val="en-GB"/>
        </w:rPr>
        <w:t>Order</w:t>
      </w:r>
      <w:r w:rsidRPr="008E059D">
        <w:rPr>
          <w:lang w:val="en-GB"/>
        </w:rPr>
        <w:t xml:space="preserve"> of 25 March 2020, is the extension of certain </w:t>
      </w:r>
      <w:r w:rsidRPr="008E059D">
        <w:rPr>
          <w:lang w:val="en-GB"/>
        </w:rPr>
        <w:t>deadlines</w:t>
      </w:r>
      <w:r w:rsidRPr="008E059D">
        <w:rPr>
          <w:lang w:val="en-GB"/>
        </w:rPr>
        <w:t xml:space="preserve"> (</w:t>
      </w:r>
      <w:r w:rsidRPr="008E059D">
        <w:rPr>
          <w:lang w:val="en-GB"/>
        </w:rPr>
        <w:t>Order</w:t>
      </w:r>
      <w:r w:rsidRPr="008E059D">
        <w:rPr>
          <w:lang w:val="en-GB"/>
        </w:rPr>
        <w:t xml:space="preserve"> No. 2020-306 of 25 March 2020 </w:t>
      </w:r>
      <w:r w:rsidRPr="008E059D">
        <w:rPr>
          <w:i/>
          <w:iCs/>
          <w:lang w:val="en-GB"/>
        </w:rPr>
        <w:t>on the extension of time limits during the period of health emergency and the adaptation of procedures during the same period</w:t>
      </w:r>
      <w:r w:rsidRPr="008E059D">
        <w:rPr>
          <w:lang w:val="en-GB"/>
        </w:rPr>
        <w:t xml:space="preserve">). When their purpose is to punish a failure to fulfil an obligation within a given period, </w:t>
      </w:r>
      <w:r w:rsidRPr="008E059D">
        <w:rPr>
          <w:lang w:val="en-GB"/>
        </w:rPr>
        <w:t>the following clauses are impacted:</w:t>
      </w:r>
    </w:p>
    <w:p w14:paraId="2879436B" w14:textId="40CB82E2" w:rsidR="00282945" w:rsidRPr="008E059D" w:rsidRDefault="00282945" w:rsidP="00282945">
      <w:pPr>
        <w:pStyle w:val="Paragraphedeliste"/>
        <w:numPr>
          <w:ilvl w:val="0"/>
          <w:numId w:val="14"/>
        </w:numPr>
        <w:jc w:val="both"/>
        <w:rPr>
          <w:lang w:val="en-GB"/>
        </w:rPr>
      </w:pPr>
      <w:r w:rsidRPr="008E059D">
        <w:rPr>
          <w:lang w:val="en-GB"/>
        </w:rPr>
        <w:t>daily penalty</w:t>
      </w:r>
      <w:r w:rsidRPr="008E059D">
        <w:rPr>
          <w:lang w:val="en-GB"/>
        </w:rPr>
        <w:t xml:space="preserve"> ;</w:t>
      </w:r>
    </w:p>
    <w:p w14:paraId="4F1C2F85" w14:textId="077EF570" w:rsidR="00282945" w:rsidRPr="008E059D" w:rsidRDefault="00282945" w:rsidP="00282945">
      <w:pPr>
        <w:pStyle w:val="Paragraphedeliste"/>
        <w:numPr>
          <w:ilvl w:val="0"/>
          <w:numId w:val="14"/>
        </w:numPr>
        <w:jc w:val="both"/>
        <w:rPr>
          <w:lang w:val="en-GB"/>
        </w:rPr>
      </w:pPr>
      <w:r w:rsidRPr="008E059D">
        <w:rPr>
          <w:lang w:val="en-GB"/>
        </w:rPr>
        <w:t>penalty clauses;</w:t>
      </w:r>
    </w:p>
    <w:p w14:paraId="0757E9E2" w14:textId="7D198088" w:rsidR="00282945" w:rsidRPr="008E059D" w:rsidRDefault="00282945" w:rsidP="00282945">
      <w:pPr>
        <w:pStyle w:val="Paragraphedeliste"/>
        <w:numPr>
          <w:ilvl w:val="0"/>
          <w:numId w:val="14"/>
        </w:numPr>
        <w:jc w:val="both"/>
        <w:rPr>
          <w:lang w:val="en-GB"/>
        </w:rPr>
      </w:pPr>
      <w:r w:rsidRPr="008E059D">
        <w:rPr>
          <w:lang w:val="en-GB"/>
        </w:rPr>
        <w:t>r</w:t>
      </w:r>
      <w:r w:rsidRPr="008E059D">
        <w:rPr>
          <w:lang w:val="en-GB"/>
        </w:rPr>
        <w:t>esolutory clauses;</w:t>
      </w:r>
    </w:p>
    <w:p w14:paraId="15663B62" w14:textId="73D47602" w:rsidR="00772402" w:rsidRPr="008E059D" w:rsidRDefault="00282945" w:rsidP="00282945">
      <w:pPr>
        <w:pStyle w:val="Paragraphedeliste"/>
        <w:numPr>
          <w:ilvl w:val="0"/>
          <w:numId w:val="14"/>
        </w:numPr>
        <w:jc w:val="both"/>
        <w:rPr>
          <w:lang w:val="en-GB"/>
        </w:rPr>
      </w:pPr>
      <w:r w:rsidRPr="008E059D">
        <w:rPr>
          <w:lang w:val="en-GB"/>
        </w:rPr>
        <w:t>any clause providing for forfeiture.</w:t>
      </w:r>
    </w:p>
    <w:p w14:paraId="74EC485E" w14:textId="14C99503" w:rsidR="00772402" w:rsidRPr="008E059D" w:rsidRDefault="00282945" w:rsidP="00772402">
      <w:pPr>
        <w:jc w:val="both"/>
        <w:rPr>
          <w:lang w:val="en-GB"/>
        </w:rPr>
      </w:pPr>
      <w:r w:rsidRPr="008E059D">
        <w:rPr>
          <w:lang w:val="en-GB"/>
        </w:rPr>
        <w:t xml:space="preserve">When these deadlines expire during </w:t>
      </w:r>
      <w:r w:rsidRPr="008E059D">
        <w:rPr>
          <w:lang w:val="en-GB"/>
        </w:rPr>
        <w:t>the</w:t>
      </w:r>
      <w:r w:rsidRPr="008E059D">
        <w:rPr>
          <w:lang w:val="en-GB"/>
        </w:rPr>
        <w:t xml:space="preserve"> state of health emergency, their effects are therefore postponed to one month from the end of the health emergency </w:t>
      </w:r>
      <w:r w:rsidRPr="008E059D">
        <w:rPr>
          <w:lang w:val="en-GB"/>
        </w:rPr>
        <w:t xml:space="preserve">period </w:t>
      </w:r>
      <w:r w:rsidRPr="008E059D">
        <w:rPr>
          <w:lang w:val="en-GB"/>
        </w:rPr>
        <w:t xml:space="preserve">(Article 4 of the said </w:t>
      </w:r>
      <w:r w:rsidRPr="008E059D">
        <w:rPr>
          <w:lang w:val="en-GB"/>
        </w:rPr>
        <w:t>Order</w:t>
      </w:r>
      <w:r w:rsidRPr="008E059D">
        <w:rPr>
          <w:lang w:val="en-GB"/>
        </w:rPr>
        <w:t>).</w:t>
      </w:r>
    </w:p>
    <w:p w14:paraId="0B2818AE" w14:textId="4A8C5D9D" w:rsidR="00471B81" w:rsidRPr="008E059D" w:rsidRDefault="00282945" w:rsidP="00471B81">
      <w:pPr>
        <w:pBdr>
          <w:top w:val="single" w:sz="4" w:space="1" w:color="auto"/>
          <w:left w:val="single" w:sz="4" w:space="4" w:color="auto"/>
          <w:bottom w:val="single" w:sz="4" w:space="1" w:color="auto"/>
          <w:right w:val="single" w:sz="4" w:space="4" w:color="auto"/>
        </w:pBdr>
        <w:jc w:val="both"/>
        <w:rPr>
          <w:bCs/>
          <w:i/>
          <w:iCs/>
          <w:color w:val="0088C9"/>
          <w:lang w:val="en-GB"/>
        </w:rPr>
      </w:pPr>
      <w:r w:rsidRPr="008E059D">
        <w:rPr>
          <w:b/>
          <w:i/>
          <w:iCs/>
          <w:color w:val="0088C9"/>
          <w:u w:val="single"/>
          <w:lang w:val="en-GB"/>
        </w:rPr>
        <w:lastRenderedPageBreak/>
        <w:t>Caution</w:t>
      </w:r>
      <w:r w:rsidR="00471B81" w:rsidRPr="008E059D">
        <w:rPr>
          <w:bCs/>
          <w:i/>
          <w:iCs/>
          <w:color w:val="0088C9"/>
          <w:lang w:val="en-GB"/>
        </w:rPr>
        <w:t xml:space="preserve">: </w:t>
      </w:r>
      <w:r w:rsidRPr="008E059D">
        <w:rPr>
          <w:bCs/>
          <w:i/>
          <w:iCs/>
          <w:color w:val="0088C9"/>
          <w:lang w:val="en-GB"/>
        </w:rPr>
        <w:t>it is specified that the mechanisms described below are applicable to contracts concluded as of October 1, 2016.</w:t>
      </w:r>
    </w:p>
    <w:p w14:paraId="1C71184F" w14:textId="48ED16B1" w:rsidR="00471B81" w:rsidRPr="008E059D" w:rsidRDefault="00282945" w:rsidP="00471B81">
      <w:pPr>
        <w:pBdr>
          <w:top w:val="single" w:sz="4" w:space="1" w:color="auto"/>
          <w:left w:val="single" w:sz="4" w:space="4" w:color="auto"/>
          <w:bottom w:val="single" w:sz="4" w:space="1" w:color="auto"/>
          <w:right w:val="single" w:sz="4" w:space="4" w:color="auto"/>
        </w:pBdr>
        <w:jc w:val="both"/>
        <w:rPr>
          <w:b/>
          <w:i/>
          <w:iCs/>
          <w:color w:val="0088C9"/>
          <w:u w:val="single"/>
          <w:lang w:val="en-GB"/>
        </w:rPr>
      </w:pPr>
      <w:r w:rsidRPr="008E059D">
        <w:rPr>
          <w:b/>
          <w:i/>
          <w:iCs/>
          <w:color w:val="0088C9"/>
          <w:u w:val="single"/>
          <w:lang w:val="en-GB"/>
        </w:rPr>
        <w:t>The possibility of using these legal mechanisms for contracts concluded before that date needs to be examined in detail.</w:t>
      </w:r>
    </w:p>
    <w:p w14:paraId="1B39957A" w14:textId="1C77FE2F" w:rsidR="00471B81" w:rsidRPr="008E059D" w:rsidRDefault="00471B81" w:rsidP="00772402">
      <w:pPr>
        <w:jc w:val="both"/>
        <w:rPr>
          <w:b/>
          <w:color w:val="0088C9"/>
          <w:sz w:val="14"/>
          <w:szCs w:val="10"/>
          <w:u w:val="single"/>
          <w:lang w:val="en-GB"/>
        </w:rPr>
      </w:pPr>
    </w:p>
    <w:p w14:paraId="56B9534B" w14:textId="19DDBE6E" w:rsidR="00471B81" w:rsidRPr="008E059D" w:rsidRDefault="00282945" w:rsidP="00471B81">
      <w:pPr>
        <w:pBdr>
          <w:top w:val="single" w:sz="4" w:space="1" w:color="auto"/>
          <w:left w:val="single" w:sz="4" w:space="4" w:color="auto"/>
          <w:bottom w:val="single" w:sz="4" w:space="1" w:color="auto"/>
          <w:right w:val="single" w:sz="4" w:space="4" w:color="auto"/>
        </w:pBdr>
        <w:jc w:val="both"/>
        <w:rPr>
          <w:bCs/>
          <w:i/>
          <w:iCs/>
          <w:color w:val="0088C9"/>
          <w:lang w:val="en-GB"/>
        </w:rPr>
      </w:pPr>
      <w:r w:rsidRPr="008E059D">
        <w:rPr>
          <w:b/>
          <w:i/>
          <w:iCs/>
          <w:color w:val="0088C9"/>
          <w:u w:val="single"/>
          <w:lang w:val="en-GB"/>
        </w:rPr>
        <w:t>Caution</w:t>
      </w:r>
      <w:r w:rsidR="00471B81" w:rsidRPr="008E059D">
        <w:rPr>
          <w:bCs/>
          <w:i/>
          <w:iCs/>
          <w:color w:val="0088C9"/>
          <w:lang w:val="en-GB"/>
        </w:rPr>
        <w:t xml:space="preserve">: </w:t>
      </w:r>
      <w:r w:rsidRPr="008E059D">
        <w:rPr>
          <w:bCs/>
          <w:i/>
          <w:iCs/>
          <w:color w:val="0088C9"/>
          <w:lang w:val="en-GB"/>
        </w:rPr>
        <w:t>a</w:t>
      </w:r>
      <w:r w:rsidRPr="008E059D">
        <w:rPr>
          <w:bCs/>
          <w:i/>
          <w:iCs/>
          <w:color w:val="0088C9"/>
          <w:lang w:val="en-GB"/>
        </w:rPr>
        <w:t>s the consequences of misuse of these mechanisms can be very serious, it is strongly advised to seek the assistance of a legal professional.</w:t>
      </w:r>
    </w:p>
    <w:p w14:paraId="425F2272" w14:textId="77777777" w:rsidR="00471B81" w:rsidRPr="008E059D" w:rsidRDefault="00471B81" w:rsidP="00772402">
      <w:pPr>
        <w:jc w:val="both"/>
        <w:rPr>
          <w:b/>
          <w:color w:val="0088C9"/>
          <w:sz w:val="28"/>
          <w:u w:val="single"/>
          <w:lang w:val="en-GB"/>
        </w:rPr>
      </w:pPr>
    </w:p>
    <w:p w14:paraId="08BE37CD" w14:textId="64174385" w:rsidR="00772402" w:rsidRPr="008E059D" w:rsidRDefault="00282945" w:rsidP="00772402">
      <w:pPr>
        <w:jc w:val="both"/>
        <w:rPr>
          <w:b/>
          <w:color w:val="0088C9"/>
          <w:sz w:val="28"/>
          <w:u w:val="single"/>
          <w:lang w:val="en-GB"/>
        </w:rPr>
      </w:pPr>
      <w:r w:rsidRPr="008E059D">
        <w:rPr>
          <w:b/>
          <w:color w:val="0088C9"/>
          <w:sz w:val="28"/>
          <w:u w:val="single"/>
          <w:lang w:val="en-GB"/>
        </w:rPr>
        <w:t xml:space="preserve">Can Force Majeure be </w:t>
      </w:r>
      <w:r w:rsidRPr="008E059D">
        <w:rPr>
          <w:b/>
          <w:color w:val="0088C9"/>
          <w:sz w:val="28"/>
          <w:u w:val="single"/>
          <w:lang w:val="en-GB"/>
        </w:rPr>
        <w:t>claimed</w:t>
      </w:r>
      <w:r w:rsidRPr="008E059D">
        <w:rPr>
          <w:b/>
          <w:color w:val="0088C9"/>
          <w:sz w:val="28"/>
          <w:u w:val="single"/>
          <w:lang w:val="en-GB"/>
        </w:rPr>
        <w:t>?</w:t>
      </w:r>
    </w:p>
    <w:p w14:paraId="55C82451" w14:textId="6BCD5EC5" w:rsidR="000D6016" w:rsidRPr="008E059D" w:rsidRDefault="00282945" w:rsidP="000D6016">
      <w:pPr>
        <w:pStyle w:val="Paragraphedeliste"/>
        <w:numPr>
          <w:ilvl w:val="0"/>
          <w:numId w:val="4"/>
        </w:numPr>
        <w:spacing w:after="120"/>
        <w:jc w:val="both"/>
        <w:rPr>
          <w:b/>
          <w:color w:val="0088C9"/>
          <w:sz w:val="24"/>
          <w:u w:val="single"/>
          <w:lang w:val="en-GB"/>
        </w:rPr>
      </w:pPr>
      <w:r w:rsidRPr="008E059D">
        <w:rPr>
          <w:b/>
          <w:color w:val="0088C9"/>
          <w:sz w:val="24"/>
          <w:u w:val="single"/>
          <w:lang w:val="en-GB"/>
        </w:rPr>
        <w:t>What does the notion of Force Majeure cover?</w:t>
      </w:r>
    </w:p>
    <w:p w14:paraId="09D47D31" w14:textId="715DEBCD" w:rsidR="00772402" w:rsidRPr="008E059D" w:rsidRDefault="00282945" w:rsidP="00772402">
      <w:pPr>
        <w:jc w:val="both"/>
        <w:rPr>
          <w:lang w:val="en-GB"/>
        </w:rPr>
      </w:pPr>
      <w:r w:rsidRPr="008E059D">
        <w:rPr>
          <w:lang w:val="en-GB"/>
        </w:rPr>
        <w:t xml:space="preserve">Force majeure is defined by Article 1218 of the Civil Code as an event </w:t>
      </w:r>
      <w:r w:rsidR="000D6016" w:rsidRPr="008E059D">
        <w:rPr>
          <w:lang w:val="en-GB"/>
        </w:rPr>
        <w:t>« </w:t>
      </w:r>
      <w:r w:rsidR="000D6016" w:rsidRPr="008E059D">
        <w:rPr>
          <w:b/>
          <w:bCs/>
          <w:lang w:val="en-GB"/>
        </w:rPr>
        <w:t xml:space="preserve">[1] </w:t>
      </w:r>
      <w:r w:rsidRPr="008E059D">
        <w:rPr>
          <w:bCs/>
          <w:i/>
          <w:iCs/>
          <w:color w:val="0088C9"/>
          <w:u w:val="single"/>
          <w:lang w:val="en-GB"/>
        </w:rPr>
        <w:t>out of the debtor's control</w:t>
      </w:r>
      <w:r w:rsidR="000D6016" w:rsidRPr="008E059D">
        <w:rPr>
          <w:bCs/>
          <w:i/>
          <w:iCs/>
          <w:lang w:val="en-GB"/>
        </w:rPr>
        <w:t xml:space="preserve">, </w:t>
      </w:r>
      <w:r w:rsidR="000D6016" w:rsidRPr="008E059D">
        <w:rPr>
          <w:b/>
          <w:lang w:val="en-GB"/>
        </w:rPr>
        <w:t>[2]</w:t>
      </w:r>
      <w:r w:rsidR="000D6016" w:rsidRPr="008E059D">
        <w:rPr>
          <w:bCs/>
          <w:i/>
          <w:iCs/>
          <w:lang w:val="en-GB"/>
        </w:rPr>
        <w:t xml:space="preserve"> </w:t>
      </w:r>
      <w:r w:rsidRPr="008E059D">
        <w:rPr>
          <w:bCs/>
          <w:i/>
          <w:iCs/>
          <w:color w:val="0088C9"/>
          <w:u w:val="single"/>
          <w:lang w:val="en-GB"/>
        </w:rPr>
        <w:t xml:space="preserve">which could not reasonably have been foreseen at the time of the conclusion of the contract </w:t>
      </w:r>
      <w:r w:rsidRPr="008E059D">
        <w:rPr>
          <w:bCs/>
          <w:i/>
          <w:iCs/>
          <w:color w:val="0088C9"/>
          <w:u w:val="single"/>
          <w:lang w:val="en-GB"/>
        </w:rPr>
        <w:t>and</w:t>
      </w:r>
      <w:r w:rsidR="000D6016" w:rsidRPr="008E059D">
        <w:rPr>
          <w:bCs/>
          <w:i/>
          <w:iCs/>
          <w:lang w:val="en-GB"/>
        </w:rPr>
        <w:t xml:space="preserve"> </w:t>
      </w:r>
      <w:r w:rsidR="000D6016" w:rsidRPr="008E059D">
        <w:rPr>
          <w:b/>
          <w:lang w:val="en-GB"/>
        </w:rPr>
        <w:t>[3]</w:t>
      </w:r>
      <w:r w:rsidR="000D6016" w:rsidRPr="008E059D">
        <w:rPr>
          <w:bCs/>
          <w:i/>
          <w:iCs/>
          <w:lang w:val="en-GB"/>
        </w:rPr>
        <w:t xml:space="preserve"> </w:t>
      </w:r>
      <w:r w:rsidRPr="008E059D">
        <w:rPr>
          <w:bCs/>
          <w:i/>
          <w:iCs/>
          <w:color w:val="0088C9"/>
          <w:u w:val="single"/>
          <w:lang w:val="en-GB"/>
        </w:rPr>
        <w:t xml:space="preserve">which </w:t>
      </w:r>
      <w:r w:rsidRPr="008E059D">
        <w:rPr>
          <w:bCs/>
          <w:i/>
          <w:iCs/>
          <w:color w:val="0088C9"/>
          <w:u w:val="single"/>
          <w:lang w:val="en-GB"/>
        </w:rPr>
        <w:t xml:space="preserve">effects cannot be avoided by appropriate measures </w:t>
      </w:r>
      <w:r w:rsidR="000D6016" w:rsidRPr="008E059D">
        <w:rPr>
          <w:lang w:val="en-GB"/>
        </w:rPr>
        <w:t>».</w:t>
      </w:r>
    </w:p>
    <w:p w14:paraId="6D53DED3" w14:textId="2B6ACA4F" w:rsidR="000D6016" w:rsidRPr="008E059D" w:rsidRDefault="00282945" w:rsidP="00772402">
      <w:pPr>
        <w:jc w:val="both"/>
        <w:rPr>
          <w:lang w:val="en-GB"/>
        </w:rPr>
      </w:pPr>
      <w:r w:rsidRPr="008E059D">
        <w:rPr>
          <w:lang w:val="en-GB"/>
        </w:rPr>
        <w:t>There are three conditions:</w:t>
      </w:r>
    </w:p>
    <w:p w14:paraId="7EB8A00B" w14:textId="06DE3542" w:rsidR="000D6016" w:rsidRPr="008E059D" w:rsidRDefault="00282945" w:rsidP="000D6016">
      <w:pPr>
        <w:pStyle w:val="Paragraphedeliste"/>
        <w:numPr>
          <w:ilvl w:val="0"/>
          <w:numId w:val="14"/>
        </w:numPr>
        <w:jc w:val="both"/>
        <w:rPr>
          <w:lang w:val="en-GB"/>
        </w:rPr>
      </w:pPr>
      <w:r w:rsidRPr="008E059D">
        <w:rPr>
          <w:lang w:val="en-GB"/>
        </w:rPr>
        <w:t>exteriority</w:t>
      </w:r>
      <w:r w:rsidR="000D6016" w:rsidRPr="008E059D">
        <w:rPr>
          <w:lang w:val="en-GB"/>
        </w:rPr>
        <w:t xml:space="preserve"> [1];</w:t>
      </w:r>
    </w:p>
    <w:p w14:paraId="62F06BDE" w14:textId="646C832A" w:rsidR="000D6016" w:rsidRPr="008E059D" w:rsidRDefault="00282945" w:rsidP="000D6016">
      <w:pPr>
        <w:pStyle w:val="Paragraphedeliste"/>
        <w:numPr>
          <w:ilvl w:val="0"/>
          <w:numId w:val="14"/>
        </w:numPr>
        <w:jc w:val="both"/>
        <w:rPr>
          <w:lang w:val="en-GB"/>
        </w:rPr>
      </w:pPr>
      <w:r w:rsidRPr="008E059D">
        <w:rPr>
          <w:lang w:val="en-GB"/>
        </w:rPr>
        <w:t>unpredictability</w:t>
      </w:r>
      <w:r w:rsidR="000D6016" w:rsidRPr="008E059D">
        <w:rPr>
          <w:lang w:val="en-GB"/>
        </w:rPr>
        <w:t xml:space="preserve"> [2];</w:t>
      </w:r>
    </w:p>
    <w:p w14:paraId="5BC25F35" w14:textId="0F1B88DB" w:rsidR="000D6016" w:rsidRPr="008E059D" w:rsidRDefault="00282945" w:rsidP="000D6016">
      <w:pPr>
        <w:pStyle w:val="Paragraphedeliste"/>
        <w:numPr>
          <w:ilvl w:val="0"/>
          <w:numId w:val="14"/>
        </w:numPr>
        <w:jc w:val="both"/>
        <w:rPr>
          <w:lang w:val="en-GB"/>
        </w:rPr>
      </w:pPr>
      <w:r w:rsidRPr="008E059D">
        <w:rPr>
          <w:lang w:val="en-GB"/>
        </w:rPr>
        <w:t>irresistibility</w:t>
      </w:r>
      <w:r w:rsidR="000D6016" w:rsidRPr="008E059D">
        <w:rPr>
          <w:lang w:val="en-GB"/>
        </w:rPr>
        <w:t xml:space="preserve"> [</w:t>
      </w:r>
      <w:r w:rsidR="00855944" w:rsidRPr="008E059D">
        <w:rPr>
          <w:lang w:val="en-GB"/>
        </w:rPr>
        <w:t>3</w:t>
      </w:r>
      <w:r w:rsidR="000D6016" w:rsidRPr="008E059D">
        <w:rPr>
          <w:lang w:val="en-GB"/>
        </w:rPr>
        <w:t>].</w:t>
      </w:r>
    </w:p>
    <w:p w14:paraId="763B39FE" w14:textId="6EEF5C7E" w:rsidR="000D6016" w:rsidRPr="008E059D" w:rsidRDefault="00282945" w:rsidP="00772402">
      <w:pPr>
        <w:jc w:val="both"/>
        <w:rPr>
          <w:lang w:val="en-GB"/>
        </w:rPr>
      </w:pPr>
      <w:r w:rsidRPr="008E059D">
        <w:rPr>
          <w:lang w:val="en-GB"/>
        </w:rPr>
        <w:t>Each situation must be analysed in detail to determine whether these conditions are met either for the pandemic itself (in the case of illness in a physical person, for example) or for mandatory containment measures.</w:t>
      </w:r>
    </w:p>
    <w:p w14:paraId="3DAE9E9C" w14:textId="77777777" w:rsidR="00C07553" w:rsidRPr="008E059D" w:rsidRDefault="00C07553" w:rsidP="00772402">
      <w:pPr>
        <w:jc w:val="both"/>
        <w:rPr>
          <w:lang w:val="en-GB"/>
        </w:rPr>
      </w:pPr>
    </w:p>
    <w:p w14:paraId="79217B2A" w14:textId="1ED89359" w:rsidR="000D6016" w:rsidRPr="008E059D" w:rsidRDefault="00282945" w:rsidP="000D6016">
      <w:pPr>
        <w:pStyle w:val="Paragraphedeliste"/>
        <w:numPr>
          <w:ilvl w:val="0"/>
          <w:numId w:val="4"/>
        </w:numPr>
        <w:spacing w:after="120"/>
        <w:jc w:val="both"/>
        <w:rPr>
          <w:b/>
          <w:color w:val="0088C9"/>
          <w:sz w:val="24"/>
          <w:u w:val="single"/>
          <w:lang w:val="en-GB"/>
        </w:rPr>
      </w:pPr>
      <w:r w:rsidRPr="008E059D">
        <w:rPr>
          <w:b/>
          <w:color w:val="0088C9"/>
          <w:sz w:val="24"/>
          <w:u w:val="single"/>
          <w:lang w:val="en-GB"/>
        </w:rPr>
        <w:t>What are the effects of Force Majeure?</w:t>
      </w:r>
    </w:p>
    <w:p w14:paraId="29117A37" w14:textId="77777777" w:rsidR="00C07553" w:rsidRPr="008E059D" w:rsidRDefault="00C07553" w:rsidP="000D6016">
      <w:pPr>
        <w:spacing w:after="120"/>
        <w:jc w:val="both"/>
        <w:rPr>
          <w:b/>
          <w:i/>
          <w:iCs/>
          <w:color w:val="0088C9"/>
          <w:szCs w:val="20"/>
          <w:u w:val="single"/>
          <w:lang w:val="en-GB"/>
        </w:rPr>
      </w:pPr>
    </w:p>
    <w:p w14:paraId="6E083C94" w14:textId="208E5049" w:rsidR="000D6016" w:rsidRPr="008E059D" w:rsidRDefault="00282945" w:rsidP="000D6016">
      <w:pPr>
        <w:spacing w:after="120"/>
        <w:jc w:val="both"/>
        <w:rPr>
          <w:b/>
          <w:i/>
          <w:iCs/>
          <w:color w:val="0088C9"/>
          <w:szCs w:val="20"/>
          <w:u w:val="single"/>
          <w:lang w:val="en-GB"/>
        </w:rPr>
      </w:pPr>
      <w:r w:rsidRPr="008E059D">
        <w:rPr>
          <w:b/>
          <w:i/>
          <w:iCs/>
          <w:color w:val="0088C9"/>
          <w:szCs w:val="20"/>
          <w:u w:val="single"/>
          <w:lang w:val="en-GB"/>
        </w:rPr>
        <w:t>With regard to the</w:t>
      </w:r>
      <w:r w:rsidRPr="008E059D">
        <w:rPr>
          <w:b/>
          <w:i/>
          <w:iCs/>
          <w:color w:val="0088C9"/>
          <w:szCs w:val="20"/>
          <w:u w:val="single"/>
          <w:lang w:val="en-GB"/>
        </w:rPr>
        <w:t xml:space="preserve"> debtor who is unable to perform his </w:t>
      </w:r>
      <w:r w:rsidRPr="008E059D">
        <w:rPr>
          <w:b/>
          <w:i/>
          <w:iCs/>
          <w:color w:val="0088C9"/>
          <w:szCs w:val="20"/>
          <w:u w:val="single"/>
          <w:lang w:val="en-GB"/>
        </w:rPr>
        <w:t>obligation:</w:t>
      </w:r>
    </w:p>
    <w:p w14:paraId="113A99B4" w14:textId="2F20AEBE" w:rsidR="000D6016" w:rsidRPr="008E059D" w:rsidRDefault="00282945" w:rsidP="000D6016">
      <w:pPr>
        <w:spacing w:after="120"/>
        <w:jc w:val="both"/>
        <w:rPr>
          <w:bCs/>
          <w:szCs w:val="20"/>
          <w:lang w:val="en-GB"/>
        </w:rPr>
      </w:pPr>
      <w:r w:rsidRPr="008E059D">
        <w:rPr>
          <w:bCs/>
          <w:szCs w:val="20"/>
          <w:lang w:val="en-GB"/>
        </w:rPr>
        <w:t>A distinction must be made between two situations.</w:t>
      </w:r>
    </w:p>
    <w:p w14:paraId="0F2CEE2C" w14:textId="3A16C1AF" w:rsidR="000D6016" w:rsidRPr="008E059D" w:rsidRDefault="00282945" w:rsidP="000D6016">
      <w:pPr>
        <w:pStyle w:val="Paragraphedeliste"/>
        <w:numPr>
          <w:ilvl w:val="0"/>
          <w:numId w:val="16"/>
        </w:numPr>
        <w:spacing w:after="120"/>
        <w:jc w:val="both"/>
        <w:rPr>
          <w:bCs/>
          <w:szCs w:val="20"/>
          <w:lang w:val="en-GB"/>
        </w:rPr>
      </w:pPr>
      <w:r w:rsidRPr="008E059D">
        <w:rPr>
          <w:bCs/>
          <w:szCs w:val="20"/>
          <w:lang w:val="en-GB"/>
        </w:rPr>
        <w:t>Either the impediment is temporary (mere delay), in which case the debtor's obligation is suspended;</w:t>
      </w:r>
    </w:p>
    <w:p w14:paraId="563FCDBA" w14:textId="77777777" w:rsidR="000D6016" w:rsidRPr="008E059D" w:rsidRDefault="000D6016" w:rsidP="000D6016">
      <w:pPr>
        <w:pStyle w:val="Paragraphedeliste"/>
        <w:spacing w:after="120"/>
        <w:jc w:val="both"/>
        <w:rPr>
          <w:bCs/>
          <w:szCs w:val="20"/>
          <w:lang w:val="en-GB"/>
        </w:rPr>
      </w:pPr>
    </w:p>
    <w:p w14:paraId="383F017D" w14:textId="1FB00327" w:rsidR="000D6016" w:rsidRPr="008E059D" w:rsidRDefault="00282945" w:rsidP="000D6016">
      <w:pPr>
        <w:pStyle w:val="Paragraphedeliste"/>
        <w:numPr>
          <w:ilvl w:val="0"/>
          <w:numId w:val="16"/>
        </w:numPr>
        <w:spacing w:after="120"/>
        <w:jc w:val="both"/>
        <w:rPr>
          <w:bCs/>
          <w:szCs w:val="20"/>
          <w:lang w:val="en-GB"/>
        </w:rPr>
      </w:pPr>
      <w:r w:rsidRPr="008E059D">
        <w:rPr>
          <w:bCs/>
          <w:szCs w:val="20"/>
          <w:lang w:val="en-GB"/>
        </w:rPr>
        <w:t xml:space="preserve">Either the impediment is </w:t>
      </w:r>
      <w:r w:rsidRPr="008E059D">
        <w:rPr>
          <w:bCs/>
          <w:szCs w:val="20"/>
          <w:lang w:val="en-GB"/>
        </w:rPr>
        <w:t>definitive,</w:t>
      </w:r>
      <w:r w:rsidRPr="008E059D">
        <w:rPr>
          <w:bCs/>
          <w:szCs w:val="20"/>
          <w:lang w:val="en-GB"/>
        </w:rPr>
        <w:t xml:space="preserve"> and the contract is automatically terminated. This is also the case if the impediment is only temporary but the consequences of the delay in performance are such as to justify such termination.</w:t>
      </w:r>
    </w:p>
    <w:p w14:paraId="38BD107B" w14:textId="089B3441" w:rsidR="000D6016" w:rsidRPr="008E059D" w:rsidRDefault="00282945" w:rsidP="000D6016">
      <w:pPr>
        <w:spacing w:after="120"/>
        <w:jc w:val="both"/>
        <w:rPr>
          <w:bCs/>
          <w:szCs w:val="20"/>
          <w:lang w:val="en-GB"/>
        </w:rPr>
      </w:pPr>
      <w:r w:rsidRPr="008E059D">
        <w:rPr>
          <w:bCs/>
          <w:szCs w:val="20"/>
          <w:lang w:val="en-GB"/>
        </w:rPr>
        <w:t>In any case, the contractual liability of the debtor cannot be engaged.</w:t>
      </w:r>
    </w:p>
    <w:p w14:paraId="5A4B39AA" w14:textId="77777777" w:rsidR="00855944" w:rsidRPr="008E059D" w:rsidRDefault="00855944" w:rsidP="000D6016">
      <w:pPr>
        <w:spacing w:after="120"/>
        <w:jc w:val="both"/>
        <w:rPr>
          <w:b/>
          <w:i/>
          <w:iCs/>
          <w:color w:val="0088C9"/>
          <w:szCs w:val="20"/>
          <w:u w:val="single"/>
          <w:lang w:val="en-GB"/>
        </w:rPr>
      </w:pPr>
    </w:p>
    <w:p w14:paraId="201329E6" w14:textId="77777777" w:rsidR="00855944" w:rsidRPr="008E059D" w:rsidRDefault="00855944" w:rsidP="000D6016">
      <w:pPr>
        <w:spacing w:after="120"/>
        <w:jc w:val="both"/>
        <w:rPr>
          <w:b/>
          <w:i/>
          <w:iCs/>
          <w:color w:val="0088C9"/>
          <w:szCs w:val="20"/>
          <w:u w:val="single"/>
          <w:lang w:val="en-GB"/>
        </w:rPr>
      </w:pPr>
    </w:p>
    <w:p w14:paraId="1A2947FF" w14:textId="6BBC5ABA" w:rsidR="000D6016" w:rsidRPr="008E059D" w:rsidRDefault="00282945" w:rsidP="000D6016">
      <w:pPr>
        <w:spacing w:after="120"/>
        <w:jc w:val="both"/>
        <w:rPr>
          <w:b/>
          <w:i/>
          <w:iCs/>
          <w:color w:val="0088C9"/>
          <w:szCs w:val="20"/>
          <w:u w:val="single"/>
          <w:lang w:val="en-GB"/>
        </w:rPr>
      </w:pPr>
      <w:r w:rsidRPr="008E059D">
        <w:rPr>
          <w:b/>
          <w:i/>
          <w:iCs/>
          <w:color w:val="0088C9"/>
          <w:szCs w:val="20"/>
          <w:u w:val="single"/>
          <w:lang w:val="en-GB"/>
        </w:rPr>
        <w:lastRenderedPageBreak/>
        <w:t>With regard to the creditor to whom the Force Majeure is opposed:</w:t>
      </w:r>
    </w:p>
    <w:p w14:paraId="789A269A" w14:textId="77777777" w:rsidR="00282945" w:rsidRPr="008E059D" w:rsidRDefault="00282945" w:rsidP="00282945">
      <w:pPr>
        <w:spacing w:after="120"/>
        <w:jc w:val="both"/>
        <w:rPr>
          <w:lang w:val="en-GB"/>
        </w:rPr>
      </w:pPr>
      <w:r w:rsidRPr="008E059D">
        <w:rPr>
          <w:lang w:val="en-GB"/>
        </w:rPr>
        <w:t>Here, the real difficulty arises when the impediment does not allow the contract to be terminated by operation of law (e.g. the case of a lessee under a commercial lease where the premises are temporarily inaccessible).</w:t>
      </w:r>
    </w:p>
    <w:p w14:paraId="4CC7E359" w14:textId="20B15F6B" w:rsidR="00282945" w:rsidRPr="008E059D" w:rsidRDefault="00282945" w:rsidP="00282945">
      <w:pPr>
        <w:spacing w:after="120"/>
        <w:jc w:val="both"/>
        <w:rPr>
          <w:lang w:val="en-GB"/>
        </w:rPr>
      </w:pPr>
      <w:r w:rsidRPr="008E059D">
        <w:rPr>
          <w:lang w:val="en-GB"/>
        </w:rPr>
        <w:t>Is the creditor entitled to suspend the performance of his counterpart (</w:t>
      </w:r>
      <w:r w:rsidRPr="008E059D">
        <w:rPr>
          <w:lang w:val="en-GB"/>
        </w:rPr>
        <w:t>“</w:t>
      </w:r>
      <w:r w:rsidRPr="008E059D">
        <w:rPr>
          <w:lang w:val="en-GB"/>
        </w:rPr>
        <w:t>non-performance</w:t>
      </w:r>
      <w:r w:rsidRPr="008E059D">
        <w:rPr>
          <w:lang w:val="en-GB"/>
        </w:rPr>
        <w:t xml:space="preserve"> exception”</w:t>
      </w:r>
      <w:r w:rsidRPr="008E059D">
        <w:rPr>
          <w:lang w:val="en-GB"/>
        </w:rPr>
        <w:t>)?</w:t>
      </w:r>
    </w:p>
    <w:p w14:paraId="2B699B7C" w14:textId="77777777" w:rsidR="00282945" w:rsidRPr="008E059D" w:rsidRDefault="00282945" w:rsidP="00282945">
      <w:pPr>
        <w:spacing w:after="120"/>
        <w:jc w:val="both"/>
        <w:rPr>
          <w:lang w:val="en-GB"/>
        </w:rPr>
      </w:pPr>
      <w:r w:rsidRPr="008E059D">
        <w:rPr>
          <w:lang w:val="en-GB"/>
        </w:rPr>
        <w:t>It is reasonable to believe that the creditor's obligation may also be suspended (since the debtor's default deprives the creditor of any consideration).</w:t>
      </w:r>
    </w:p>
    <w:p w14:paraId="0D7EA8D6" w14:textId="77777777" w:rsidR="00282945" w:rsidRPr="008E059D" w:rsidRDefault="00282945" w:rsidP="00282945">
      <w:pPr>
        <w:spacing w:after="120"/>
        <w:jc w:val="both"/>
        <w:rPr>
          <w:lang w:val="en-GB"/>
        </w:rPr>
      </w:pPr>
      <w:r w:rsidRPr="008E059D">
        <w:rPr>
          <w:lang w:val="en-GB"/>
        </w:rPr>
        <w:t>On the other hand, the text of the Civil Code does not allow the question to be decided with absolute certainty.</w:t>
      </w:r>
    </w:p>
    <w:p w14:paraId="7DCFCE39" w14:textId="4F1FC37A" w:rsidR="000D6016" w:rsidRPr="008E059D" w:rsidRDefault="00282945" w:rsidP="00282945">
      <w:pPr>
        <w:spacing w:after="120"/>
        <w:jc w:val="both"/>
        <w:rPr>
          <w:lang w:val="en-GB"/>
        </w:rPr>
      </w:pPr>
      <w:r w:rsidRPr="008E059D">
        <w:rPr>
          <w:lang w:val="en-GB"/>
        </w:rPr>
        <w:t>This is why, in all cases, a detailed examination of the situation will have to be carried out in order to assess the risk.</w:t>
      </w:r>
    </w:p>
    <w:p w14:paraId="2AAFED4D" w14:textId="31929B6B" w:rsidR="00150809" w:rsidRPr="008E059D" w:rsidRDefault="00150809" w:rsidP="008055F1">
      <w:pPr>
        <w:jc w:val="both"/>
        <w:rPr>
          <w:b/>
          <w:color w:val="0088C9"/>
          <w:sz w:val="28"/>
          <w:u w:val="single"/>
          <w:lang w:val="en-GB"/>
        </w:rPr>
      </w:pPr>
    </w:p>
    <w:p w14:paraId="0BB4452E" w14:textId="3C6877BA" w:rsidR="000D6016" w:rsidRPr="008E059D" w:rsidRDefault="00282945" w:rsidP="000D6016">
      <w:pPr>
        <w:pBdr>
          <w:top w:val="single" w:sz="4" w:space="1" w:color="auto"/>
          <w:left w:val="single" w:sz="4" w:space="4" w:color="auto"/>
          <w:bottom w:val="single" w:sz="4" w:space="1" w:color="auto"/>
          <w:right w:val="single" w:sz="4" w:space="4" w:color="auto"/>
        </w:pBdr>
        <w:jc w:val="both"/>
        <w:rPr>
          <w:bCs/>
          <w:i/>
          <w:iCs/>
          <w:color w:val="0088C9"/>
          <w:lang w:val="en-GB"/>
        </w:rPr>
      </w:pPr>
      <w:r w:rsidRPr="008E059D">
        <w:rPr>
          <w:b/>
          <w:i/>
          <w:iCs/>
          <w:color w:val="0088C9"/>
          <w:u w:val="single"/>
          <w:lang w:val="en-GB"/>
        </w:rPr>
        <w:t xml:space="preserve">Careful </w:t>
      </w:r>
      <w:r w:rsidRPr="008E059D">
        <w:rPr>
          <w:bCs/>
          <w:i/>
          <w:iCs/>
          <w:color w:val="0088C9"/>
          <w:lang w:val="en-GB"/>
        </w:rPr>
        <w:t>with the</w:t>
      </w:r>
      <w:r w:rsidR="000D6016" w:rsidRPr="008E059D">
        <w:rPr>
          <w:bCs/>
          <w:i/>
          <w:iCs/>
          <w:color w:val="0088C9"/>
          <w:lang w:val="en-GB"/>
        </w:rPr>
        <w:t xml:space="preserve"> </w:t>
      </w:r>
      <w:r w:rsidRPr="008E059D">
        <w:rPr>
          <w:bCs/>
          <w:i/>
          <w:iCs/>
          <w:color w:val="0088C9"/>
          <w:lang w:val="en-GB"/>
        </w:rPr>
        <w:t>contracts signed during the pandemic since, in this case, the pandemic could not be considered unforeseeable at the time the contract was signed. Thus, the debtor will certainly be deprived of the possible benefit of force majeure.</w:t>
      </w:r>
    </w:p>
    <w:p w14:paraId="6061317C" w14:textId="77777777" w:rsidR="000D6016" w:rsidRPr="008E059D" w:rsidRDefault="000D6016" w:rsidP="008055F1">
      <w:pPr>
        <w:jc w:val="both"/>
        <w:rPr>
          <w:b/>
          <w:color w:val="0088C9"/>
          <w:sz w:val="28"/>
          <w:u w:val="single"/>
          <w:lang w:val="en-GB"/>
        </w:rPr>
      </w:pPr>
    </w:p>
    <w:p w14:paraId="6F236175" w14:textId="381C6C65" w:rsidR="008055F1" w:rsidRPr="008E059D" w:rsidRDefault="00282945" w:rsidP="008055F1">
      <w:pPr>
        <w:jc w:val="both"/>
        <w:rPr>
          <w:b/>
          <w:color w:val="0088C9"/>
          <w:sz w:val="28"/>
          <w:u w:val="single"/>
          <w:lang w:val="en-GB"/>
        </w:rPr>
      </w:pPr>
      <w:r w:rsidRPr="008E059D">
        <w:rPr>
          <w:b/>
          <w:color w:val="0088C9"/>
          <w:sz w:val="28"/>
          <w:u w:val="single"/>
          <w:lang w:val="en-GB"/>
        </w:rPr>
        <w:t xml:space="preserve">Does the theory of </w:t>
      </w:r>
      <w:r w:rsidRPr="008E059D">
        <w:rPr>
          <w:b/>
          <w:color w:val="0088C9"/>
          <w:sz w:val="28"/>
          <w:u w:val="single"/>
          <w:lang w:val="en-GB"/>
        </w:rPr>
        <w:t>hardship</w:t>
      </w:r>
      <w:r w:rsidRPr="008E059D">
        <w:rPr>
          <w:b/>
          <w:color w:val="0088C9"/>
          <w:sz w:val="28"/>
          <w:u w:val="single"/>
          <w:lang w:val="en-GB"/>
        </w:rPr>
        <w:t xml:space="preserve"> allow for renegotiation?</w:t>
      </w:r>
    </w:p>
    <w:p w14:paraId="751DF842" w14:textId="2125905A" w:rsidR="00A25F7D" w:rsidRPr="008E059D" w:rsidRDefault="00282945" w:rsidP="000D6016">
      <w:pPr>
        <w:jc w:val="both"/>
        <w:rPr>
          <w:lang w:val="en-GB"/>
        </w:rPr>
      </w:pPr>
      <w:r w:rsidRPr="008E059D">
        <w:rPr>
          <w:lang w:val="en-GB"/>
        </w:rPr>
        <w:t>Article 1195 of the Civil Code obliges the parties to consider a renegotiation of contractual conditions when "</w:t>
      </w:r>
      <w:r w:rsidRPr="008E059D">
        <w:rPr>
          <w:i/>
          <w:iCs/>
          <w:lang w:val="en-GB"/>
        </w:rPr>
        <w:t>a change of circumstances</w:t>
      </w:r>
      <w:r w:rsidRPr="008E059D">
        <w:rPr>
          <w:lang w:val="en-GB"/>
        </w:rPr>
        <w:t xml:space="preserve"> </w:t>
      </w:r>
      <w:r w:rsidR="000D6016" w:rsidRPr="008E059D">
        <w:rPr>
          <w:b/>
          <w:bCs/>
          <w:lang w:val="en-GB"/>
        </w:rPr>
        <w:t>[1]</w:t>
      </w:r>
      <w:r w:rsidR="000D6016" w:rsidRPr="008E059D">
        <w:rPr>
          <w:lang w:val="en-GB"/>
        </w:rPr>
        <w:t xml:space="preserve"> </w:t>
      </w:r>
      <w:r w:rsidRPr="008E059D">
        <w:rPr>
          <w:bCs/>
          <w:i/>
          <w:iCs/>
          <w:color w:val="0088C9"/>
          <w:u w:val="single"/>
          <w:lang w:val="en-GB"/>
        </w:rPr>
        <w:t>unpredictable</w:t>
      </w:r>
      <w:r w:rsidR="000D6016" w:rsidRPr="008E059D">
        <w:rPr>
          <w:bCs/>
          <w:i/>
          <w:iCs/>
          <w:lang w:val="en-GB"/>
        </w:rPr>
        <w:t xml:space="preserve"> </w:t>
      </w:r>
      <w:r w:rsidRPr="008E059D">
        <w:rPr>
          <w:bCs/>
          <w:i/>
          <w:iCs/>
          <w:lang w:val="en-GB"/>
        </w:rPr>
        <w:t>at the time of the conclusion of the contract</w:t>
      </w:r>
      <w:r w:rsidR="000D6016" w:rsidRPr="008E059D">
        <w:rPr>
          <w:lang w:val="en-GB"/>
        </w:rPr>
        <w:t xml:space="preserve"> </w:t>
      </w:r>
      <w:r w:rsidR="000D6016" w:rsidRPr="008E059D">
        <w:rPr>
          <w:b/>
          <w:bCs/>
          <w:lang w:val="en-GB"/>
        </w:rPr>
        <w:t>[2]</w:t>
      </w:r>
      <w:r w:rsidR="000D6016" w:rsidRPr="008E059D">
        <w:rPr>
          <w:lang w:val="en-GB"/>
        </w:rPr>
        <w:t xml:space="preserve"> [</w:t>
      </w:r>
      <w:r w:rsidRPr="008E059D">
        <w:rPr>
          <w:lang w:val="en-GB"/>
        </w:rPr>
        <w:t>which</w:t>
      </w:r>
      <w:r w:rsidR="000D6016" w:rsidRPr="008E059D">
        <w:rPr>
          <w:lang w:val="en-GB"/>
        </w:rPr>
        <w:t xml:space="preserve">] </w:t>
      </w:r>
      <w:r w:rsidRPr="008E059D">
        <w:rPr>
          <w:bCs/>
          <w:i/>
          <w:iCs/>
          <w:color w:val="0088C9"/>
          <w:u w:val="single"/>
          <w:lang w:val="en-GB"/>
        </w:rPr>
        <w:t xml:space="preserve">makes the execution excessively onerous for one party </w:t>
      </w:r>
      <w:r w:rsidR="000D6016" w:rsidRPr="008E059D">
        <w:rPr>
          <w:b/>
          <w:bCs/>
          <w:lang w:val="en-GB"/>
        </w:rPr>
        <w:t>[3]</w:t>
      </w:r>
      <w:r w:rsidR="000D6016" w:rsidRPr="008E059D">
        <w:rPr>
          <w:i/>
          <w:iCs/>
          <w:lang w:val="en-GB"/>
        </w:rPr>
        <w:t xml:space="preserve"> </w:t>
      </w:r>
      <w:r w:rsidRPr="008E059D">
        <w:rPr>
          <w:bCs/>
          <w:i/>
          <w:iCs/>
          <w:color w:val="0088C9"/>
          <w:u w:val="single"/>
          <w:lang w:val="en-GB"/>
        </w:rPr>
        <w:t>who hadn't agreed to take the risk</w:t>
      </w:r>
      <w:r w:rsidRPr="008E059D">
        <w:rPr>
          <w:bCs/>
          <w:i/>
          <w:iCs/>
          <w:lang w:val="en-GB"/>
        </w:rPr>
        <w:t>”</w:t>
      </w:r>
      <w:r w:rsidR="00855944" w:rsidRPr="008E059D">
        <w:rPr>
          <w:lang w:val="en-GB"/>
        </w:rPr>
        <w:t>.</w:t>
      </w:r>
    </w:p>
    <w:p w14:paraId="0122C6F3" w14:textId="77777777" w:rsidR="00282945" w:rsidRPr="008E059D" w:rsidRDefault="00282945" w:rsidP="00282945">
      <w:pPr>
        <w:jc w:val="both"/>
        <w:rPr>
          <w:lang w:val="en-GB"/>
        </w:rPr>
      </w:pPr>
      <w:r w:rsidRPr="008E059D">
        <w:rPr>
          <w:lang w:val="en-GB"/>
        </w:rPr>
        <w:t>Provided that these three conditions are met, the party in difficulty may request a renegotiation from its co-contractor.</w:t>
      </w:r>
    </w:p>
    <w:p w14:paraId="43D6168E" w14:textId="2E36F99F" w:rsidR="000D6016" w:rsidRPr="008E059D" w:rsidRDefault="00282945" w:rsidP="00282945">
      <w:pPr>
        <w:jc w:val="both"/>
        <w:rPr>
          <w:lang w:val="en-GB"/>
        </w:rPr>
      </w:pPr>
      <w:r w:rsidRPr="008E059D">
        <w:rPr>
          <w:lang w:val="en-GB"/>
        </w:rPr>
        <w:t>In the event of refusal or failure of such negotiations, the parties may by mutual agreement agree :</w:t>
      </w:r>
    </w:p>
    <w:p w14:paraId="0A3A3423" w14:textId="3652E3C6" w:rsidR="00282945" w:rsidRPr="008E059D" w:rsidRDefault="00282945" w:rsidP="00282945">
      <w:pPr>
        <w:pStyle w:val="Paragraphedeliste"/>
        <w:numPr>
          <w:ilvl w:val="0"/>
          <w:numId w:val="14"/>
        </w:numPr>
        <w:jc w:val="both"/>
        <w:rPr>
          <w:lang w:val="en-GB"/>
        </w:rPr>
      </w:pPr>
      <w:r w:rsidRPr="008E059D">
        <w:rPr>
          <w:lang w:val="en-GB"/>
        </w:rPr>
        <w:t>that the contract will be resolved;</w:t>
      </w:r>
    </w:p>
    <w:p w14:paraId="75EEE878" w14:textId="77777777" w:rsidR="00282945" w:rsidRPr="008E059D" w:rsidRDefault="00282945" w:rsidP="00282945">
      <w:pPr>
        <w:pStyle w:val="Paragraphedeliste"/>
        <w:jc w:val="both"/>
        <w:rPr>
          <w:lang w:val="en-GB"/>
        </w:rPr>
      </w:pPr>
    </w:p>
    <w:p w14:paraId="7F478A90" w14:textId="7F22A1F1" w:rsidR="000D6016" w:rsidRPr="008E059D" w:rsidRDefault="00282945" w:rsidP="00282945">
      <w:pPr>
        <w:pStyle w:val="Paragraphedeliste"/>
        <w:numPr>
          <w:ilvl w:val="0"/>
          <w:numId w:val="14"/>
        </w:numPr>
        <w:jc w:val="both"/>
        <w:rPr>
          <w:lang w:val="en-GB"/>
        </w:rPr>
      </w:pPr>
      <w:r w:rsidRPr="008E059D">
        <w:rPr>
          <w:lang w:val="en-GB"/>
        </w:rPr>
        <w:t>to ask the judge to decide</w:t>
      </w:r>
      <w:r w:rsidR="000D6016" w:rsidRPr="008E059D">
        <w:rPr>
          <w:lang w:val="en-GB"/>
        </w:rPr>
        <w:t>.</w:t>
      </w:r>
    </w:p>
    <w:p w14:paraId="550EB280" w14:textId="7F152315" w:rsidR="000D6016" w:rsidRPr="008E059D" w:rsidRDefault="00282945" w:rsidP="00193777">
      <w:pPr>
        <w:jc w:val="both"/>
        <w:rPr>
          <w:lang w:val="en-GB"/>
        </w:rPr>
      </w:pPr>
      <w:r w:rsidRPr="008E059D">
        <w:rPr>
          <w:lang w:val="en-GB"/>
        </w:rPr>
        <w:t>Finally, if no agreement is reached within a reasonable period of time, the party in difficulty may ask the judge to:</w:t>
      </w:r>
    </w:p>
    <w:p w14:paraId="17BA2D4E" w14:textId="4B33035F" w:rsidR="00282945" w:rsidRPr="008E059D" w:rsidRDefault="00282945" w:rsidP="00282945">
      <w:pPr>
        <w:pStyle w:val="Paragraphedeliste"/>
        <w:numPr>
          <w:ilvl w:val="0"/>
          <w:numId w:val="14"/>
        </w:numPr>
        <w:jc w:val="both"/>
        <w:rPr>
          <w:lang w:val="en-GB"/>
        </w:rPr>
      </w:pPr>
      <w:r w:rsidRPr="008E059D">
        <w:rPr>
          <w:lang w:val="en-GB"/>
        </w:rPr>
        <w:t>revise the contract;</w:t>
      </w:r>
    </w:p>
    <w:p w14:paraId="5C68C20E" w14:textId="77777777" w:rsidR="00282945" w:rsidRPr="008E059D" w:rsidRDefault="00282945" w:rsidP="00282945">
      <w:pPr>
        <w:pStyle w:val="Paragraphedeliste"/>
        <w:numPr>
          <w:ilvl w:val="0"/>
          <w:numId w:val="14"/>
        </w:numPr>
        <w:jc w:val="both"/>
        <w:rPr>
          <w:lang w:val="en-GB"/>
        </w:rPr>
      </w:pPr>
    </w:p>
    <w:p w14:paraId="6A10FB60" w14:textId="4651CD05" w:rsidR="000D6016" w:rsidRPr="008E059D" w:rsidRDefault="00282945" w:rsidP="00282945">
      <w:pPr>
        <w:pStyle w:val="Paragraphedeliste"/>
        <w:numPr>
          <w:ilvl w:val="0"/>
          <w:numId w:val="14"/>
        </w:numPr>
        <w:jc w:val="both"/>
        <w:rPr>
          <w:lang w:val="en-GB"/>
        </w:rPr>
      </w:pPr>
      <w:r w:rsidRPr="008E059D">
        <w:rPr>
          <w:lang w:val="en-GB"/>
        </w:rPr>
        <w:t>terminate it according to the dates and conditions it will set.</w:t>
      </w:r>
    </w:p>
    <w:p w14:paraId="294832CB" w14:textId="77777777" w:rsidR="000D6016" w:rsidRPr="008E059D" w:rsidRDefault="000D6016" w:rsidP="000D6016">
      <w:pPr>
        <w:pStyle w:val="Paragraphedeliste"/>
        <w:rPr>
          <w:lang w:val="en-GB"/>
        </w:rPr>
      </w:pPr>
    </w:p>
    <w:p w14:paraId="60684A25" w14:textId="3827B7FF" w:rsidR="000D6016" w:rsidRPr="008E059D" w:rsidRDefault="00282945" w:rsidP="000D6016">
      <w:pPr>
        <w:pBdr>
          <w:top w:val="single" w:sz="4" w:space="1" w:color="auto"/>
          <w:left w:val="single" w:sz="4" w:space="4" w:color="auto"/>
          <w:bottom w:val="single" w:sz="4" w:space="1" w:color="auto"/>
          <w:right w:val="single" w:sz="4" w:space="4" w:color="auto"/>
        </w:pBdr>
        <w:jc w:val="both"/>
        <w:rPr>
          <w:bCs/>
          <w:i/>
          <w:iCs/>
          <w:color w:val="0088C9"/>
          <w:lang w:val="en-GB"/>
        </w:rPr>
      </w:pPr>
      <w:r w:rsidRPr="008E059D">
        <w:rPr>
          <w:b/>
          <w:i/>
          <w:iCs/>
          <w:color w:val="0088C9"/>
          <w:u w:val="single"/>
          <w:lang w:val="en-GB"/>
        </w:rPr>
        <w:t>Careful</w:t>
      </w:r>
      <w:r w:rsidR="000D6016" w:rsidRPr="008E059D">
        <w:rPr>
          <w:bCs/>
          <w:i/>
          <w:iCs/>
          <w:color w:val="0088C9"/>
          <w:lang w:val="en-GB"/>
        </w:rPr>
        <w:t xml:space="preserve"> </w:t>
      </w:r>
      <w:r w:rsidRPr="008E059D">
        <w:rPr>
          <w:bCs/>
          <w:i/>
          <w:iCs/>
          <w:color w:val="0088C9"/>
          <w:lang w:val="en-GB"/>
        </w:rPr>
        <w:t xml:space="preserve">with </w:t>
      </w:r>
      <w:r w:rsidRPr="008E059D">
        <w:rPr>
          <w:bCs/>
          <w:i/>
          <w:iCs/>
          <w:color w:val="0088C9"/>
          <w:lang w:val="en-GB"/>
        </w:rPr>
        <w:t xml:space="preserve">contracts signed during the pandemic, since in this case the pandemic cannot be considered unforeseeable at the time of signing the contract. Thus, the debtor will certainly be deprived of the possible benefit of the </w:t>
      </w:r>
      <w:r w:rsidRPr="008E059D">
        <w:rPr>
          <w:bCs/>
          <w:i/>
          <w:iCs/>
          <w:color w:val="0088C9"/>
          <w:lang w:val="en-GB"/>
        </w:rPr>
        <w:t>hardship</w:t>
      </w:r>
      <w:r w:rsidRPr="008E059D">
        <w:rPr>
          <w:bCs/>
          <w:i/>
          <w:iCs/>
          <w:color w:val="0088C9"/>
          <w:lang w:val="en-GB"/>
        </w:rPr>
        <w:t>.</w:t>
      </w:r>
    </w:p>
    <w:p w14:paraId="11028BDF" w14:textId="77777777" w:rsidR="000D6016" w:rsidRPr="008E059D" w:rsidRDefault="000D6016" w:rsidP="000D6016">
      <w:pPr>
        <w:jc w:val="both"/>
        <w:rPr>
          <w:b/>
          <w:color w:val="0088C9"/>
          <w:sz w:val="28"/>
          <w:u w:val="single"/>
          <w:lang w:val="en-GB"/>
        </w:rPr>
      </w:pPr>
    </w:p>
    <w:p w14:paraId="6B8D8493" w14:textId="064E50A0" w:rsidR="000D6016" w:rsidRPr="008E059D" w:rsidRDefault="00282945" w:rsidP="000D6016">
      <w:pPr>
        <w:jc w:val="both"/>
        <w:rPr>
          <w:b/>
          <w:color w:val="0088C9"/>
          <w:sz w:val="28"/>
          <w:u w:val="single"/>
          <w:lang w:val="en-GB"/>
        </w:rPr>
      </w:pPr>
      <w:r w:rsidRPr="008E059D">
        <w:rPr>
          <w:b/>
          <w:color w:val="0088C9"/>
          <w:sz w:val="28"/>
          <w:u w:val="single"/>
          <w:lang w:val="en-GB"/>
        </w:rPr>
        <w:t>Can the aggrieved creditor suspend his own obligation?</w:t>
      </w:r>
    </w:p>
    <w:p w14:paraId="35824E27" w14:textId="4B5439DA" w:rsidR="00282945" w:rsidRPr="008E059D" w:rsidRDefault="00282945" w:rsidP="00282945">
      <w:pPr>
        <w:jc w:val="both"/>
        <w:rPr>
          <w:bCs/>
          <w:szCs w:val="18"/>
          <w:lang w:val="en-GB"/>
        </w:rPr>
      </w:pPr>
      <w:r w:rsidRPr="008E059D">
        <w:rPr>
          <w:bCs/>
          <w:szCs w:val="18"/>
          <w:lang w:val="en-GB"/>
        </w:rPr>
        <w:t>Irrespective of whether the non-performing debtor can rely on force majeure or not, and subject to the reservations expressed in the section on "Force Majeure", the creditor may consider raising a "non-performance</w:t>
      </w:r>
      <w:r w:rsidRPr="008E059D">
        <w:rPr>
          <w:bCs/>
          <w:szCs w:val="18"/>
          <w:lang w:val="en-GB"/>
        </w:rPr>
        <w:t xml:space="preserve"> exception</w:t>
      </w:r>
      <w:r w:rsidRPr="008E059D">
        <w:rPr>
          <w:bCs/>
          <w:szCs w:val="18"/>
          <w:lang w:val="en-GB"/>
        </w:rPr>
        <w:t>".</w:t>
      </w:r>
    </w:p>
    <w:p w14:paraId="62FCFB45" w14:textId="189F0505" w:rsidR="00282945" w:rsidRPr="008E059D" w:rsidRDefault="00282945" w:rsidP="00282945">
      <w:pPr>
        <w:jc w:val="both"/>
        <w:rPr>
          <w:bCs/>
          <w:szCs w:val="18"/>
          <w:lang w:val="en-GB"/>
        </w:rPr>
      </w:pPr>
      <w:r w:rsidRPr="008E059D">
        <w:rPr>
          <w:bCs/>
          <w:szCs w:val="18"/>
          <w:lang w:val="en-GB"/>
        </w:rPr>
        <w:t xml:space="preserve">By this mechanism, the aggrieved party suspends performance of its obligation. As soon as the debtor is again </w:t>
      </w:r>
      <w:r w:rsidRPr="008E059D">
        <w:rPr>
          <w:bCs/>
          <w:szCs w:val="18"/>
          <w:lang w:val="en-GB"/>
        </w:rPr>
        <w:t>able</w:t>
      </w:r>
      <w:r w:rsidRPr="008E059D">
        <w:rPr>
          <w:bCs/>
          <w:szCs w:val="18"/>
          <w:lang w:val="en-GB"/>
        </w:rPr>
        <w:t xml:space="preserve"> to provide him with his consideration, performance of that obligation must resume.</w:t>
      </w:r>
    </w:p>
    <w:p w14:paraId="1E4067DA" w14:textId="77777777" w:rsidR="00282945" w:rsidRPr="008E059D" w:rsidRDefault="00282945" w:rsidP="00282945">
      <w:pPr>
        <w:jc w:val="both"/>
        <w:rPr>
          <w:bCs/>
          <w:szCs w:val="18"/>
          <w:lang w:val="en-GB"/>
        </w:rPr>
      </w:pPr>
      <w:r w:rsidRPr="008E059D">
        <w:rPr>
          <w:bCs/>
          <w:szCs w:val="18"/>
          <w:lang w:val="en-GB"/>
        </w:rPr>
        <w:t xml:space="preserve">This is possible as soon as the non-performance with which he is faced or which it is clear that he will be faced is "sufficiently serious". The non-performance contemplated must therefore be of a certain seriousness in order to be able to contemplate this defence of non-performance. </w:t>
      </w:r>
    </w:p>
    <w:p w14:paraId="27DCCB3F" w14:textId="39142AE0" w:rsidR="00282945" w:rsidRPr="008E059D" w:rsidRDefault="00282945" w:rsidP="00282945">
      <w:pPr>
        <w:jc w:val="both"/>
        <w:rPr>
          <w:bCs/>
          <w:szCs w:val="18"/>
          <w:lang w:val="en-GB"/>
        </w:rPr>
      </w:pPr>
      <w:r w:rsidRPr="008E059D">
        <w:rPr>
          <w:bCs/>
          <w:szCs w:val="18"/>
          <w:lang w:val="en-GB"/>
        </w:rPr>
        <w:t xml:space="preserve">For </w:t>
      </w:r>
      <w:r w:rsidRPr="008E059D">
        <w:rPr>
          <w:bCs/>
          <w:szCs w:val="18"/>
          <w:lang w:val="en-GB"/>
        </w:rPr>
        <w:t>legal security</w:t>
      </w:r>
      <w:r w:rsidRPr="008E059D">
        <w:rPr>
          <w:bCs/>
          <w:szCs w:val="18"/>
          <w:lang w:val="en-GB"/>
        </w:rPr>
        <w:t xml:space="preserve"> sake, it is preferable to resort to this mechanism only when the debtor's non-performance amounts to a total absence of consideration. </w:t>
      </w:r>
    </w:p>
    <w:p w14:paraId="22B4E02D" w14:textId="64E2343C" w:rsidR="00471B81" w:rsidRPr="008E059D" w:rsidRDefault="00282945" w:rsidP="00282945">
      <w:pPr>
        <w:jc w:val="both"/>
        <w:rPr>
          <w:bCs/>
          <w:szCs w:val="18"/>
          <w:lang w:val="en-GB"/>
        </w:rPr>
      </w:pPr>
      <w:r w:rsidRPr="008E059D">
        <w:rPr>
          <w:bCs/>
          <w:szCs w:val="18"/>
          <w:lang w:val="en-GB"/>
        </w:rPr>
        <w:t xml:space="preserve">On the other hand, a simple notice is </w:t>
      </w:r>
      <w:r w:rsidRPr="008E059D">
        <w:rPr>
          <w:bCs/>
          <w:szCs w:val="18"/>
          <w:lang w:val="en-GB"/>
        </w:rPr>
        <w:t>enough</w:t>
      </w:r>
      <w:r w:rsidRPr="008E059D">
        <w:rPr>
          <w:bCs/>
          <w:szCs w:val="18"/>
          <w:lang w:val="en-GB"/>
        </w:rPr>
        <w:t xml:space="preserve"> to implement it.</w:t>
      </w:r>
    </w:p>
    <w:p w14:paraId="0C4986F0" w14:textId="3422B662" w:rsidR="00471B81" w:rsidRPr="008E059D" w:rsidRDefault="00471B81" w:rsidP="000D6016">
      <w:pPr>
        <w:jc w:val="both"/>
        <w:rPr>
          <w:bCs/>
          <w:szCs w:val="18"/>
          <w:lang w:val="en-GB"/>
        </w:rPr>
      </w:pPr>
    </w:p>
    <w:p w14:paraId="669C9E2E" w14:textId="77777777" w:rsidR="00471B81" w:rsidRPr="008E059D" w:rsidRDefault="00471B81" w:rsidP="000D6016">
      <w:pPr>
        <w:jc w:val="both"/>
        <w:rPr>
          <w:bCs/>
          <w:szCs w:val="18"/>
          <w:lang w:val="en-GB"/>
        </w:rPr>
      </w:pPr>
    </w:p>
    <w:p w14:paraId="3D759B3B" w14:textId="77777777" w:rsidR="00B13EB5" w:rsidRPr="008E059D" w:rsidRDefault="00B13EB5" w:rsidP="008055F1">
      <w:pPr>
        <w:jc w:val="both"/>
        <w:rPr>
          <w:lang w:val="en-GB"/>
        </w:rPr>
      </w:pPr>
    </w:p>
    <w:p w14:paraId="0971CA6E" w14:textId="77777777" w:rsidR="00193777" w:rsidRPr="008E059D" w:rsidRDefault="00193777">
      <w:pPr>
        <w:rPr>
          <w:b/>
          <w:color w:val="0088C9"/>
          <w:sz w:val="28"/>
          <w:u w:val="single"/>
          <w:lang w:val="en-GB"/>
        </w:rPr>
      </w:pPr>
      <w:r w:rsidRPr="008E059D">
        <w:rPr>
          <w:b/>
          <w:color w:val="0088C9"/>
          <w:sz w:val="28"/>
          <w:u w:val="single"/>
          <w:lang w:val="en-GB"/>
        </w:rPr>
        <w:br w:type="page"/>
      </w:r>
    </w:p>
    <w:p w14:paraId="7B0F2D29" w14:textId="77777777" w:rsidR="00C07553" w:rsidRPr="008E059D" w:rsidRDefault="00C07553" w:rsidP="003578E7">
      <w:pPr>
        <w:jc w:val="both"/>
        <w:rPr>
          <w:b/>
          <w:color w:val="0088C9"/>
          <w:sz w:val="28"/>
          <w:u w:val="single"/>
          <w:lang w:val="en-GB"/>
        </w:rPr>
      </w:pPr>
    </w:p>
    <w:p w14:paraId="6CE06D96" w14:textId="142D02F1" w:rsidR="00193777" w:rsidRPr="008E059D" w:rsidRDefault="00282945" w:rsidP="003578E7">
      <w:pPr>
        <w:jc w:val="both"/>
        <w:rPr>
          <w:b/>
          <w:color w:val="0088C9"/>
          <w:sz w:val="28"/>
          <w:u w:val="single"/>
          <w:lang w:val="en-GB"/>
        </w:rPr>
      </w:pPr>
      <w:r w:rsidRPr="008E059D">
        <w:rPr>
          <w:b/>
          <w:color w:val="0088C9"/>
          <w:sz w:val="28"/>
          <w:u w:val="single"/>
          <w:lang w:val="en-GB"/>
        </w:rPr>
        <w:t>Applicable texts</w:t>
      </w:r>
      <w:r w:rsidR="001C1778" w:rsidRPr="008E059D">
        <w:rPr>
          <w:b/>
          <w:color w:val="0088C9"/>
          <w:sz w:val="28"/>
          <w:u w:val="single"/>
          <w:lang w:val="en-GB"/>
        </w:rPr>
        <w:t xml:space="preserve"> </w:t>
      </w:r>
      <w:r w:rsidRPr="008E059D">
        <w:rPr>
          <w:b/>
          <w:color w:val="0088C9"/>
          <w:sz w:val="28"/>
          <w:u w:val="single"/>
          <w:lang w:val="en-GB"/>
        </w:rPr>
        <w:t>(automatic translation)</w:t>
      </w:r>
      <w:r w:rsidR="003578E7" w:rsidRPr="008E059D">
        <w:rPr>
          <w:b/>
          <w:color w:val="0088C9"/>
          <w:sz w:val="28"/>
          <w:u w:val="single"/>
          <w:lang w:val="en-GB"/>
        </w:rPr>
        <w:t>:</w:t>
      </w:r>
    </w:p>
    <w:p w14:paraId="1FB857E1" w14:textId="77777777" w:rsidR="000D6016" w:rsidRPr="008E059D" w:rsidRDefault="000D6016" w:rsidP="003578E7">
      <w:pPr>
        <w:jc w:val="both"/>
        <w:rPr>
          <w:b/>
          <w:color w:val="0088C9"/>
          <w:sz w:val="18"/>
          <w:szCs w:val="14"/>
          <w:u w:val="single"/>
          <w:lang w:val="en-GB"/>
        </w:rPr>
      </w:pPr>
    </w:p>
    <w:p w14:paraId="3E064ED9" w14:textId="6ACC763B" w:rsidR="000D6016" w:rsidRPr="008E059D" w:rsidRDefault="00282945" w:rsidP="000D6016">
      <w:pPr>
        <w:pBdr>
          <w:top w:val="single" w:sz="4" w:space="1" w:color="auto"/>
          <w:left w:val="single" w:sz="4" w:space="4" w:color="auto"/>
          <w:bottom w:val="single" w:sz="4" w:space="1" w:color="auto"/>
          <w:right w:val="single" w:sz="4" w:space="4" w:color="auto"/>
        </w:pBdr>
        <w:jc w:val="both"/>
        <w:rPr>
          <w:b/>
          <w:color w:val="0088C9"/>
          <w:sz w:val="28"/>
          <w:u w:val="single"/>
          <w:lang w:val="en-GB"/>
        </w:rPr>
      </w:pPr>
      <w:r w:rsidRPr="008E059D">
        <w:rPr>
          <w:b/>
          <w:i/>
          <w:iCs/>
          <w:color w:val="0088C9"/>
          <w:u w:val="single"/>
          <w:lang w:val="en-GB"/>
        </w:rPr>
        <w:t>Order No 2020-306 of 25 March 2020 on the extension of time limits during the period of public health emergencies and the adaptation of procedures during the same period :</w:t>
      </w:r>
    </w:p>
    <w:p w14:paraId="130BA9A9" w14:textId="77777777" w:rsidR="000D6016" w:rsidRPr="008E059D" w:rsidRDefault="000D6016" w:rsidP="000D6016">
      <w:pPr>
        <w:pBdr>
          <w:top w:val="single" w:sz="4" w:space="1" w:color="auto"/>
          <w:left w:val="single" w:sz="4" w:space="4" w:color="auto"/>
          <w:bottom w:val="single" w:sz="4" w:space="1" w:color="auto"/>
          <w:right w:val="single" w:sz="4" w:space="4" w:color="auto"/>
        </w:pBdr>
        <w:jc w:val="both"/>
        <w:rPr>
          <w:lang w:val="en-GB"/>
        </w:rPr>
      </w:pPr>
      <w:r w:rsidRPr="008E059D">
        <w:rPr>
          <w:bCs/>
          <w:i/>
          <w:iCs/>
          <w:lang w:val="en-GB"/>
        </w:rPr>
        <w:t xml:space="preserve">« </w:t>
      </w:r>
      <w:r w:rsidRPr="008E059D">
        <w:rPr>
          <w:b/>
          <w:i/>
          <w:iCs/>
          <w:lang w:val="en-GB"/>
        </w:rPr>
        <w:t>Article 4</w:t>
      </w:r>
    </w:p>
    <w:p w14:paraId="3FE649F1" w14:textId="77777777" w:rsidR="00282945" w:rsidRPr="008E059D" w:rsidRDefault="00282945" w:rsidP="00282945">
      <w:pPr>
        <w:pBdr>
          <w:top w:val="single" w:sz="4" w:space="1" w:color="auto"/>
          <w:left w:val="single" w:sz="4" w:space="4" w:color="auto"/>
          <w:bottom w:val="single" w:sz="4" w:space="1" w:color="auto"/>
          <w:right w:val="single" w:sz="4" w:space="4" w:color="auto"/>
        </w:pBdr>
        <w:jc w:val="both"/>
        <w:rPr>
          <w:i/>
          <w:iCs/>
          <w:lang w:val="en-GB"/>
        </w:rPr>
      </w:pPr>
      <w:r w:rsidRPr="008E059D">
        <w:rPr>
          <w:i/>
          <w:iCs/>
          <w:lang w:val="en-GB"/>
        </w:rPr>
        <w:t>Periodic penalty payments, penalty clauses, termination clauses and clauses providing for forfeiture, where their purpose is to penalise failure to fulfil an obligation within a specified period, shall be deemed not to have commenced or to have taken effect if that period has expired during the period defined in Article 1(I).</w:t>
      </w:r>
    </w:p>
    <w:p w14:paraId="00AF7055" w14:textId="77777777" w:rsidR="00282945" w:rsidRPr="008E059D" w:rsidRDefault="00282945" w:rsidP="00282945">
      <w:pPr>
        <w:pBdr>
          <w:top w:val="single" w:sz="4" w:space="1" w:color="auto"/>
          <w:left w:val="single" w:sz="4" w:space="4" w:color="auto"/>
          <w:bottom w:val="single" w:sz="4" w:space="1" w:color="auto"/>
          <w:right w:val="single" w:sz="4" w:space="4" w:color="auto"/>
        </w:pBdr>
        <w:jc w:val="both"/>
        <w:rPr>
          <w:i/>
          <w:iCs/>
          <w:lang w:val="en-GB"/>
        </w:rPr>
      </w:pPr>
      <w:r w:rsidRPr="008E059D">
        <w:rPr>
          <w:i/>
          <w:iCs/>
          <w:lang w:val="en-GB"/>
        </w:rPr>
        <w:t>Such periodic penalty payments shall take effect and be enforceable as from the expiry of a period of one month after the end of that period if the debtor has not performed his obligation before that time.</w:t>
      </w:r>
    </w:p>
    <w:p w14:paraId="444D95FE" w14:textId="65750ED2" w:rsidR="000D6016" w:rsidRPr="008E059D" w:rsidRDefault="00282945" w:rsidP="00282945">
      <w:pPr>
        <w:pBdr>
          <w:top w:val="single" w:sz="4" w:space="1" w:color="auto"/>
          <w:left w:val="single" w:sz="4" w:space="4" w:color="auto"/>
          <w:bottom w:val="single" w:sz="4" w:space="1" w:color="auto"/>
          <w:right w:val="single" w:sz="4" w:space="4" w:color="auto"/>
        </w:pBdr>
        <w:jc w:val="both"/>
        <w:rPr>
          <w:lang w:val="en-GB"/>
        </w:rPr>
      </w:pPr>
      <w:r w:rsidRPr="008E059D">
        <w:rPr>
          <w:i/>
          <w:iCs/>
          <w:lang w:val="en-GB"/>
        </w:rPr>
        <w:t>The duration of periodic penalty payments and the application of penalty clauses which took effect before 12 March 2020 shall be suspended during the period defined in I of Article 1</w:t>
      </w:r>
      <w:r w:rsidRPr="008E059D">
        <w:rPr>
          <w:lang w:val="en-GB"/>
        </w:rPr>
        <w:t xml:space="preserve">. </w:t>
      </w:r>
      <w:r w:rsidR="000D6016" w:rsidRPr="008E059D">
        <w:rPr>
          <w:bCs/>
          <w:i/>
          <w:iCs/>
          <w:lang w:val="en-GB"/>
        </w:rPr>
        <w:t>»</w:t>
      </w:r>
    </w:p>
    <w:p w14:paraId="1747F172" w14:textId="77777777" w:rsidR="000D6016" w:rsidRPr="008E059D" w:rsidRDefault="000D6016" w:rsidP="003578E7">
      <w:pPr>
        <w:jc w:val="both"/>
        <w:rPr>
          <w:b/>
          <w:color w:val="0088C9"/>
          <w:sz w:val="28"/>
          <w:u w:val="single"/>
          <w:lang w:val="en-GB"/>
        </w:rPr>
      </w:pPr>
    </w:p>
    <w:p w14:paraId="00BEBE8D" w14:textId="03309C91" w:rsidR="000D6016" w:rsidRPr="008E059D" w:rsidRDefault="000D6016" w:rsidP="000D6016">
      <w:pPr>
        <w:pBdr>
          <w:top w:val="single" w:sz="4" w:space="1" w:color="auto"/>
          <w:left w:val="single" w:sz="4" w:space="4" w:color="auto"/>
          <w:bottom w:val="single" w:sz="4" w:space="1" w:color="auto"/>
          <w:right w:val="single" w:sz="4" w:space="4" w:color="auto"/>
        </w:pBdr>
        <w:jc w:val="both"/>
        <w:rPr>
          <w:b/>
          <w:i/>
          <w:iCs/>
          <w:color w:val="0088C9"/>
          <w:u w:val="single"/>
          <w:lang w:val="en-GB"/>
        </w:rPr>
      </w:pPr>
      <w:r w:rsidRPr="008E059D">
        <w:rPr>
          <w:b/>
          <w:i/>
          <w:iCs/>
          <w:color w:val="0088C9"/>
          <w:u w:val="single"/>
          <w:lang w:val="en-GB"/>
        </w:rPr>
        <w:t xml:space="preserve">Article 1218 </w:t>
      </w:r>
      <w:r w:rsidR="00282945" w:rsidRPr="008E059D">
        <w:rPr>
          <w:b/>
          <w:i/>
          <w:iCs/>
          <w:color w:val="0088C9"/>
          <w:u w:val="single"/>
          <w:lang w:val="en-GB"/>
        </w:rPr>
        <w:t>of Civil</w:t>
      </w:r>
      <w:r w:rsidRPr="008E059D">
        <w:rPr>
          <w:b/>
          <w:i/>
          <w:iCs/>
          <w:color w:val="0088C9"/>
          <w:u w:val="single"/>
          <w:lang w:val="en-GB"/>
        </w:rPr>
        <w:t xml:space="preserve"> Code (</w:t>
      </w:r>
      <w:r w:rsidR="00282945" w:rsidRPr="008E059D">
        <w:rPr>
          <w:b/>
          <w:i/>
          <w:iCs/>
          <w:color w:val="0088C9"/>
          <w:u w:val="single"/>
          <w:lang w:val="en-GB"/>
        </w:rPr>
        <w:t>“</w:t>
      </w:r>
      <w:r w:rsidRPr="008E059D">
        <w:rPr>
          <w:b/>
          <w:i/>
          <w:iCs/>
          <w:color w:val="0088C9"/>
          <w:u w:val="single"/>
          <w:lang w:val="en-GB"/>
        </w:rPr>
        <w:t>Force Majeure</w:t>
      </w:r>
      <w:r w:rsidR="00282945" w:rsidRPr="008E059D">
        <w:rPr>
          <w:b/>
          <w:i/>
          <w:iCs/>
          <w:color w:val="0088C9"/>
          <w:u w:val="single"/>
          <w:lang w:val="en-GB"/>
        </w:rPr>
        <w:t>”</w:t>
      </w:r>
      <w:r w:rsidRPr="008E059D">
        <w:rPr>
          <w:b/>
          <w:i/>
          <w:iCs/>
          <w:color w:val="0088C9"/>
          <w:u w:val="single"/>
          <w:lang w:val="en-GB"/>
        </w:rPr>
        <w:t>)</w:t>
      </w:r>
    </w:p>
    <w:p w14:paraId="3C868329" w14:textId="77777777" w:rsidR="00282945" w:rsidRPr="008E059D" w:rsidRDefault="000D6016" w:rsidP="00282945">
      <w:pPr>
        <w:pBdr>
          <w:top w:val="single" w:sz="4" w:space="1" w:color="auto"/>
          <w:left w:val="single" w:sz="4" w:space="4" w:color="auto"/>
          <w:bottom w:val="single" w:sz="4" w:space="1" w:color="auto"/>
          <w:right w:val="single" w:sz="4" w:space="4" w:color="auto"/>
        </w:pBdr>
        <w:jc w:val="both"/>
        <w:rPr>
          <w:bCs/>
          <w:i/>
          <w:iCs/>
          <w:lang w:val="en-GB"/>
        </w:rPr>
      </w:pPr>
      <w:r w:rsidRPr="008E059D">
        <w:rPr>
          <w:bCs/>
          <w:i/>
          <w:iCs/>
          <w:lang w:val="en-GB"/>
        </w:rPr>
        <w:t>« </w:t>
      </w:r>
      <w:r w:rsidR="00282945" w:rsidRPr="008E059D">
        <w:rPr>
          <w:bCs/>
          <w:i/>
          <w:iCs/>
          <w:lang w:val="en-GB"/>
        </w:rPr>
        <w:t>Force majeure in contractual matters occurs when an event beyond the control of the debtor, which could not reasonably have been foreseen at the time of the conclusion of the contract and the effects of which cannot be avoided by appropriate measures, prevents performance of the obligation by the debtor.</w:t>
      </w:r>
    </w:p>
    <w:p w14:paraId="7D79BB48" w14:textId="0F628FD1" w:rsidR="001C1778" w:rsidRPr="008E059D" w:rsidRDefault="00282945" w:rsidP="00282945">
      <w:pPr>
        <w:pBdr>
          <w:top w:val="single" w:sz="4" w:space="1" w:color="auto"/>
          <w:left w:val="single" w:sz="4" w:space="4" w:color="auto"/>
          <w:bottom w:val="single" w:sz="4" w:space="1" w:color="auto"/>
          <w:right w:val="single" w:sz="4" w:space="4" w:color="auto"/>
        </w:pBdr>
        <w:jc w:val="both"/>
        <w:rPr>
          <w:bCs/>
          <w:i/>
          <w:iCs/>
          <w:color w:val="0088C9"/>
          <w:u w:val="single"/>
          <w:lang w:val="en-GB"/>
        </w:rPr>
      </w:pPr>
      <w:r w:rsidRPr="008E059D">
        <w:rPr>
          <w:bCs/>
          <w:i/>
          <w:iCs/>
          <w:lang w:val="en-GB"/>
        </w:rPr>
        <w:t>If the impediment is temporary, performance of the obligation shall be suspended unless the resulting delay justifies termination of the contract. If the impediment is permanent, the contract is terminated by operation of law and the parties are discharged from their obligations under the conditions provided for in articles 1351 and 1351-1.</w:t>
      </w:r>
      <w:r w:rsidR="000D6016" w:rsidRPr="008E059D">
        <w:rPr>
          <w:bCs/>
          <w:i/>
          <w:iCs/>
          <w:lang w:val="en-GB"/>
        </w:rPr>
        <w:t xml:space="preserve"> ».</w:t>
      </w:r>
    </w:p>
    <w:p w14:paraId="512CA411" w14:textId="77777777" w:rsidR="000D6016" w:rsidRPr="008E059D" w:rsidRDefault="000D6016" w:rsidP="003578E7">
      <w:pPr>
        <w:jc w:val="both"/>
        <w:rPr>
          <w:b/>
          <w:color w:val="0088C9"/>
          <w:sz w:val="18"/>
          <w:szCs w:val="14"/>
          <w:u w:val="single"/>
          <w:lang w:val="en-GB"/>
        </w:rPr>
      </w:pPr>
    </w:p>
    <w:p w14:paraId="7CDBFF30" w14:textId="210015E6" w:rsidR="000D6016" w:rsidRPr="008E059D" w:rsidRDefault="000D6016" w:rsidP="000D6016">
      <w:pPr>
        <w:pBdr>
          <w:top w:val="single" w:sz="4" w:space="1" w:color="auto"/>
          <w:left w:val="single" w:sz="4" w:space="4" w:color="auto"/>
          <w:bottom w:val="single" w:sz="4" w:space="1" w:color="auto"/>
          <w:right w:val="single" w:sz="4" w:space="4" w:color="auto"/>
        </w:pBdr>
        <w:jc w:val="both"/>
        <w:rPr>
          <w:b/>
          <w:i/>
          <w:iCs/>
          <w:color w:val="0088C9"/>
          <w:u w:val="single"/>
          <w:lang w:val="en-GB"/>
        </w:rPr>
      </w:pPr>
      <w:r w:rsidRPr="008E059D">
        <w:rPr>
          <w:b/>
          <w:i/>
          <w:iCs/>
          <w:color w:val="0088C9"/>
          <w:u w:val="single"/>
          <w:lang w:val="en-GB"/>
        </w:rPr>
        <w:t xml:space="preserve">Article 1195 </w:t>
      </w:r>
      <w:r w:rsidR="00282945" w:rsidRPr="008E059D">
        <w:rPr>
          <w:b/>
          <w:i/>
          <w:iCs/>
          <w:color w:val="0088C9"/>
          <w:u w:val="single"/>
          <w:lang w:val="en-GB"/>
        </w:rPr>
        <w:t>of Civil code</w:t>
      </w:r>
      <w:r w:rsidRPr="008E059D">
        <w:rPr>
          <w:b/>
          <w:i/>
          <w:iCs/>
          <w:color w:val="0088C9"/>
          <w:u w:val="single"/>
          <w:lang w:val="en-GB"/>
        </w:rPr>
        <w:t xml:space="preserve"> (</w:t>
      </w:r>
      <w:r w:rsidR="00282945" w:rsidRPr="008E059D">
        <w:rPr>
          <w:b/>
          <w:i/>
          <w:iCs/>
          <w:color w:val="0088C9"/>
          <w:u w:val="single"/>
          <w:lang w:val="en-GB"/>
        </w:rPr>
        <w:t>Hardship</w:t>
      </w:r>
      <w:r w:rsidRPr="008E059D">
        <w:rPr>
          <w:b/>
          <w:i/>
          <w:iCs/>
          <w:color w:val="0088C9"/>
          <w:u w:val="single"/>
          <w:lang w:val="en-GB"/>
        </w:rPr>
        <w:t>)</w:t>
      </w:r>
    </w:p>
    <w:p w14:paraId="2234ACB6" w14:textId="77777777" w:rsidR="00282945" w:rsidRPr="008E059D" w:rsidRDefault="000D6016" w:rsidP="00282945">
      <w:pPr>
        <w:pBdr>
          <w:top w:val="single" w:sz="4" w:space="1" w:color="auto"/>
          <w:left w:val="single" w:sz="4" w:space="4" w:color="auto"/>
          <w:bottom w:val="single" w:sz="4" w:space="1" w:color="auto"/>
          <w:right w:val="single" w:sz="4" w:space="4" w:color="auto"/>
        </w:pBdr>
        <w:jc w:val="both"/>
        <w:rPr>
          <w:bCs/>
          <w:i/>
          <w:iCs/>
          <w:lang w:val="en-GB"/>
        </w:rPr>
      </w:pPr>
      <w:r w:rsidRPr="008E059D">
        <w:rPr>
          <w:bCs/>
          <w:i/>
          <w:iCs/>
          <w:lang w:val="en-GB"/>
        </w:rPr>
        <w:t>« </w:t>
      </w:r>
      <w:r w:rsidR="00282945" w:rsidRPr="008E059D">
        <w:rPr>
          <w:bCs/>
          <w:i/>
          <w:iCs/>
          <w:lang w:val="en-GB"/>
        </w:rPr>
        <w:t>If a change in circumstances unforeseeable at the time of the conclusion of the contract makes performance excessively onerous for a party who had not agreed to assume the risk, that party may request the other party to renegotiate the contract. It shall continue to perform its obligations during the renegotiation.</w:t>
      </w:r>
    </w:p>
    <w:p w14:paraId="6F9415AA" w14:textId="59D2790A" w:rsidR="00193777" w:rsidRPr="008E059D" w:rsidRDefault="00282945" w:rsidP="00282945">
      <w:pPr>
        <w:pBdr>
          <w:top w:val="single" w:sz="4" w:space="1" w:color="auto"/>
          <w:left w:val="single" w:sz="4" w:space="4" w:color="auto"/>
          <w:bottom w:val="single" w:sz="4" w:space="1" w:color="auto"/>
          <w:right w:val="single" w:sz="4" w:space="4" w:color="auto"/>
        </w:pBdr>
        <w:jc w:val="both"/>
        <w:rPr>
          <w:bCs/>
          <w:i/>
          <w:iCs/>
          <w:color w:val="0088C9"/>
          <w:u w:val="single"/>
          <w:lang w:val="en-GB"/>
        </w:rPr>
      </w:pPr>
      <w:r w:rsidRPr="008E059D">
        <w:rPr>
          <w:bCs/>
          <w:i/>
          <w:iCs/>
          <w:lang w:val="en-GB"/>
        </w:rPr>
        <w:t xml:space="preserve">If the renegotiation is refused or fails, the parties may agree to terminate the contract, on the date and on the terms they determine, or request the court to adapt it by mutual agreement. If no agreement is reached within a reasonable period of time, the court may, at the request of one of the parties, revise or terminate the contract, on the date and under the conditions it shall determine. </w:t>
      </w:r>
      <w:r w:rsidR="000D6016" w:rsidRPr="008E059D">
        <w:rPr>
          <w:bCs/>
          <w:i/>
          <w:iCs/>
          <w:lang w:val="en-GB"/>
        </w:rPr>
        <w:t>».</w:t>
      </w:r>
    </w:p>
    <w:p w14:paraId="02E14B67" w14:textId="1E83780D" w:rsidR="00193777" w:rsidRPr="008E059D" w:rsidRDefault="00193777" w:rsidP="003578E7">
      <w:pPr>
        <w:jc w:val="both"/>
        <w:rPr>
          <w:bCs/>
          <w:color w:val="0088C9"/>
          <w:lang w:val="en-GB"/>
        </w:rPr>
      </w:pPr>
    </w:p>
    <w:p w14:paraId="0CEDBA00" w14:textId="2F53995D" w:rsidR="00471B81" w:rsidRPr="008E059D" w:rsidRDefault="00471B81" w:rsidP="00471B81">
      <w:pPr>
        <w:pBdr>
          <w:top w:val="single" w:sz="4" w:space="1" w:color="auto"/>
          <w:left w:val="single" w:sz="4" w:space="4" w:color="auto"/>
          <w:bottom w:val="single" w:sz="4" w:space="1" w:color="auto"/>
          <w:right w:val="single" w:sz="4" w:space="4" w:color="auto"/>
        </w:pBdr>
        <w:jc w:val="both"/>
        <w:rPr>
          <w:b/>
          <w:i/>
          <w:iCs/>
          <w:color w:val="0088C9"/>
          <w:u w:val="single"/>
          <w:lang w:val="en-GB"/>
        </w:rPr>
      </w:pPr>
      <w:r w:rsidRPr="008E059D">
        <w:rPr>
          <w:b/>
          <w:i/>
          <w:iCs/>
          <w:color w:val="0088C9"/>
          <w:u w:val="single"/>
          <w:lang w:val="en-GB"/>
        </w:rPr>
        <w:t xml:space="preserve">Article 1220 </w:t>
      </w:r>
      <w:r w:rsidR="00282945" w:rsidRPr="008E059D">
        <w:rPr>
          <w:b/>
          <w:i/>
          <w:iCs/>
          <w:color w:val="0088C9"/>
          <w:u w:val="single"/>
          <w:lang w:val="en-GB"/>
        </w:rPr>
        <w:t>of Civil code</w:t>
      </w:r>
      <w:r w:rsidRPr="008E059D">
        <w:rPr>
          <w:b/>
          <w:i/>
          <w:iCs/>
          <w:color w:val="0088C9"/>
          <w:u w:val="single"/>
          <w:lang w:val="en-GB"/>
        </w:rPr>
        <w:t xml:space="preserve"> (</w:t>
      </w:r>
      <w:r w:rsidR="00282945" w:rsidRPr="008E059D">
        <w:rPr>
          <w:b/>
          <w:i/>
          <w:iCs/>
          <w:color w:val="0088C9"/>
          <w:u w:val="single"/>
          <w:lang w:val="en-GB"/>
        </w:rPr>
        <w:t>“non-performance exception”</w:t>
      </w:r>
      <w:r w:rsidRPr="008E059D">
        <w:rPr>
          <w:b/>
          <w:i/>
          <w:iCs/>
          <w:color w:val="0088C9"/>
          <w:u w:val="single"/>
          <w:lang w:val="en-GB"/>
        </w:rPr>
        <w:t>)</w:t>
      </w:r>
    </w:p>
    <w:p w14:paraId="42FBEBD3" w14:textId="246B16DE" w:rsidR="00471B81" w:rsidRPr="008E059D" w:rsidRDefault="00471B81" w:rsidP="00471B81">
      <w:pPr>
        <w:pBdr>
          <w:top w:val="single" w:sz="4" w:space="1" w:color="auto"/>
          <w:left w:val="single" w:sz="4" w:space="4" w:color="auto"/>
          <w:bottom w:val="single" w:sz="4" w:space="1" w:color="auto"/>
          <w:right w:val="single" w:sz="4" w:space="4" w:color="auto"/>
        </w:pBdr>
        <w:jc w:val="both"/>
        <w:rPr>
          <w:bCs/>
          <w:i/>
          <w:iCs/>
          <w:color w:val="0088C9"/>
          <w:u w:val="single"/>
          <w:lang w:val="en-GB"/>
        </w:rPr>
      </w:pPr>
      <w:r w:rsidRPr="008E059D">
        <w:rPr>
          <w:bCs/>
          <w:i/>
          <w:iCs/>
          <w:lang w:val="en-GB"/>
        </w:rPr>
        <w:t xml:space="preserve">« </w:t>
      </w:r>
      <w:r w:rsidR="00282945" w:rsidRPr="008E059D">
        <w:rPr>
          <w:bCs/>
          <w:i/>
          <w:iCs/>
          <w:lang w:val="en-GB"/>
        </w:rPr>
        <w:t xml:space="preserve">A party may suspend performance of its obligation if it is clear that its counterparty will not perform when due and the consequences of such non-performance are sufficiently serious for that party. Such suspension must be notified as soon as possible. </w:t>
      </w:r>
      <w:r w:rsidRPr="008E059D">
        <w:rPr>
          <w:bCs/>
          <w:i/>
          <w:iCs/>
          <w:lang w:val="en-GB"/>
        </w:rPr>
        <w:t>».</w:t>
      </w:r>
    </w:p>
    <w:p w14:paraId="34A159B3" w14:textId="2CFAECBD" w:rsidR="00471B81" w:rsidRPr="008E059D" w:rsidRDefault="00471B81" w:rsidP="003578E7">
      <w:pPr>
        <w:jc w:val="both"/>
        <w:rPr>
          <w:bCs/>
          <w:color w:val="0088C9"/>
          <w:lang w:val="en-GB"/>
        </w:rPr>
      </w:pPr>
    </w:p>
    <w:p w14:paraId="026FD0DA" w14:textId="6C31DB58" w:rsidR="007077EE" w:rsidRPr="008E059D" w:rsidRDefault="00C304ED" w:rsidP="00C304ED">
      <w:pPr>
        <w:spacing w:after="120"/>
        <w:jc w:val="center"/>
        <w:rPr>
          <w:b/>
          <w:color w:val="0088C9"/>
          <w:sz w:val="24"/>
          <w:lang w:val="en-GB"/>
        </w:rPr>
      </w:pPr>
      <w:r w:rsidRPr="008E059D">
        <w:rPr>
          <w:b/>
          <w:color w:val="0088C9"/>
          <w:sz w:val="24"/>
          <w:lang w:val="en-GB"/>
        </w:rPr>
        <w:t>***</w:t>
      </w:r>
    </w:p>
    <w:p w14:paraId="52A59C99" w14:textId="77777777" w:rsidR="00C304ED" w:rsidRPr="008E059D" w:rsidRDefault="00C304ED" w:rsidP="00BA1849">
      <w:pPr>
        <w:jc w:val="both"/>
        <w:rPr>
          <w:iCs/>
          <w:color w:val="0088C9"/>
          <w:lang w:val="en-GB"/>
        </w:rPr>
      </w:pPr>
    </w:p>
    <w:p w14:paraId="0E34A14D" w14:textId="77777777" w:rsidR="00282945" w:rsidRPr="008E059D" w:rsidRDefault="00282945" w:rsidP="00282945">
      <w:pPr>
        <w:jc w:val="both"/>
        <w:rPr>
          <w:iCs/>
          <w:color w:val="0088C9"/>
          <w:lang w:val="en-GB"/>
        </w:rPr>
      </w:pPr>
      <w:bookmarkStart w:id="1" w:name="_Hlk36142407"/>
      <w:r w:rsidRPr="008E059D">
        <w:rPr>
          <w:iCs/>
          <w:color w:val="0088C9"/>
          <w:lang w:val="en-GB"/>
        </w:rPr>
        <w:t>Do not hesitate to contact us if you need legal support to adapt your activity to the COVID-19 pandemic.</w:t>
      </w:r>
    </w:p>
    <w:p w14:paraId="088004B8" w14:textId="141CC970" w:rsidR="00C126AC" w:rsidRPr="008E059D" w:rsidRDefault="00282945" w:rsidP="00282945">
      <w:pPr>
        <w:jc w:val="both"/>
        <w:rPr>
          <w:iCs/>
          <w:color w:val="0088C9"/>
          <w:lang w:val="en-GB"/>
        </w:rPr>
      </w:pPr>
      <w:r w:rsidRPr="008E059D">
        <w:rPr>
          <w:iCs/>
          <w:color w:val="0088C9"/>
          <w:lang w:val="en-GB"/>
        </w:rPr>
        <w:t>You can also find more information on our website and our LinkedIn page visible by following the links below:</w:t>
      </w:r>
      <w:bookmarkEnd w:id="1"/>
    </w:p>
    <w:p w14:paraId="588FBE71" w14:textId="1D89C9A6" w:rsidR="00B866B0" w:rsidRPr="008E059D" w:rsidRDefault="00F15675" w:rsidP="00B866B0">
      <w:pPr>
        <w:jc w:val="center"/>
        <w:rPr>
          <w:i/>
          <w:color w:val="0088C9"/>
          <w:u w:val="single"/>
          <w:lang w:val="en-GB"/>
        </w:rPr>
      </w:pPr>
      <w:hyperlink r:id="rId7" w:history="1">
        <w:r w:rsidR="00B866B0" w:rsidRPr="008E059D">
          <w:rPr>
            <w:i/>
            <w:color w:val="0088C9"/>
            <w:u w:val="single"/>
            <w:lang w:val="en-GB"/>
          </w:rPr>
          <w:t>http://www.ncazeau.com</w:t>
        </w:r>
      </w:hyperlink>
    </w:p>
    <w:p w14:paraId="63BA7045" w14:textId="088C4CF1" w:rsidR="00B866B0" w:rsidRPr="008E059D" w:rsidRDefault="00F15675" w:rsidP="00B866B0">
      <w:pPr>
        <w:jc w:val="center"/>
        <w:rPr>
          <w:i/>
          <w:color w:val="0088C9"/>
          <w:u w:val="single"/>
          <w:lang w:val="en-GB"/>
        </w:rPr>
      </w:pPr>
      <w:hyperlink r:id="rId8" w:history="1">
        <w:r w:rsidR="00B866B0" w:rsidRPr="008E059D">
          <w:rPr>
            <w:i/>
            <w:color w:val="0088C9"/>
            <w:u w:val="single"/>
            <w:lang w:val="en-GB"/>
          </w:rPr>
          <w:t>https://www.linkedin.com/company/18870197</w:t>
        </w:r>
      </w:hyperlink>
    </w:p>
    <w:p w14:paraId="6DA15D8A" w14:textId="77777777" w:rsidR="00B866B0" w:rsidRPr="008E059D" w:rsidRDefault="00B866B0" w:rsidP="00B866B0">
      <w:pPr>
        <w:jc w:val="center"/>
        <w:rPr>
          <w:iCs/>
          <w:color w:val="0088C9"/>
          <w:lang w:val="en-GB"/>
        </w:rPr>
      </w:pPr>
    </w:p>
    <w:p w14:paraId="5D698A86" w14:textId="77777777" w:rsidR="00B866B0" w:rsidRPr="008E059D" w:rsidRDefault="00B866B0" w:rsidP="00B866B0">
      <w:pPr>
        <w:jc w:val="center"/>
        <w:rPr>
          <w:iCs/>
          <w:color w:val="0088C9"/>
          <w:lang w:val="en-GB"/>
        </w:rPr>
      </w:pPr>
    </w:p>
    <w:p w14:paraId="3F8FA493" w14:textId="77777777" w:rsidR="00B866B0" w:rsidRPr="008E059D" w:rsidRDefault="00B866B0" w:rsidP="00BA1849">
      <w:pPr>
        <w:jc w:val="both"/>
        <w:rPr>
          <w:iCs/>
          <w:color w:val="0088C9"/>
          <w:lang w:val="en-GB"/>
        </w:rPr>
      </w:pPr>
    </w:p>
    <w:p w14:paraId="29E97E81" w14:textId="747CC977" w:rsidR="0041646E" w:rsidRPr="008E059D" w:rsidRDefault="0041646E" w:rsidP="00BA1849">
      <w:pPr>
        <w:jc w:val="both"/>
        <w:rPr>
          <w:iCs/>
          <w:color w:val="0088C9"/>
          <w:lang w:val="en-GB"/>
        </w:rPr>
      </w:pPr>
    </w:p>
    <w:sectPr w:rsidR="0041646E" w:rsidRPr="008E059D" w:rsidSect="00377CDA">
      <w:headerReference w:type="default" r:id="rId9"/>
      <w:footerReference w:type="default" r:id="rId10"/>
      <w:headerReference w:type="first" r:id="rId11"/>
      <w:footerReference w:type="first" r:id="rId12"/>
      <w:pgSz w:w="11906" w:h="16838"/>
      <w:pgMar w:top="819" w:right="1417" w:bottom="1135" w:left="1417" w:header="567" w:footer="708" w:gutter="0"/>
      <w:pgBorders w:offsetFrom="page">
        <w:top w:val="single" w:sz="8" w:space="24" w:color="0088C9"/>
        <w:left w:val="single" w:sz="8" w:space="24" w:color="0088C9"/>
        <w:bottom w:val="single" w:sz="8" w:space="24" w:color="0088C9"/>
        <w:right w:val="single" w:sz="8" w:space="24" w:color="0088C9"/>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2E2A1" w14:textId="77777777" w:rsidR="00F15675" w:rsidRDefault="00F15675" w:rsidP="00EA0A20">
      <w:pPr>
        <w:spacing w:after="0" w:line="240" w:lineRule="auto"/>
      </w:pPr>
      <w:r>
        <w:separator/>
      </w:r>
    </w:p>
  </w:endnote>
  <w:endnote w:type="continuationSeparator" w:id="0">
    <w:p w14:paraId="1DAEB784" w14:textId="77777777" w:rsidR="00F15675" w:rsidRDefault="00F15675" w:rsidP="00EA0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162961"/>
      <w:docPartObj>
        <w:docPartGallery w:val="Page Numbers (Bottom of Page)"/>
        <w:docPartUnique/>
      </w:docPartObj>
    </w:sdtPr>
    <w:sdtEndPr/>
    <w:sdtContent>
      <w:p w14:paraId="2B9ACE68" w14:textId="77777777" w:rsidR="005F2F7B" w:rsidRDefault="005F2F7B">
        <w:pPr>
          <w:pStyle w:val="Pieddepage"/>
          <w:jc w:val="center"/>
        </w:pPr>
        <w:r>
          <w:fldChar w:fldCharType="begin"/>
        </w:r>
        <w:r>
          <w:instrText>PAGE   \* MERGEFORMAT</w:instrText>
        </w:r>
        <w:r>
          <w:fldChar w:fldCharType="separate"/>
        </w:r>
        <w:r>
          <w:t>2</w:t>
        </w:r>
        <w:r>
          <w:fldChar w:fldCharType="end"/>
        </w:r>
      </w:p>
    </w:sdtContent>
  </w:sdt>
  <w:p w14:paraId="6CED24E0" w14:textId="77777777" w:rsidR="005F2F7B" w:rsidRDefault="005F2F7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5450385"/>
      <w:docPartObj>
        <w:docPartGallery w:val="Page Numbers (Bottom of Page)"/>
        <w:docPartUnique/>
      </w:docPartObj>
    </w:sdtPr>
    <w:sdtEndPr/>
    <w:sdtContent>
      <w:p w14:paraId="7BC92FEC" w14:textId="77777777" w:rsidR="00B43DE9" w:rsidRDefault="00B43DE9" w:rsidP="00B43DE9">
        <w:pPr>
          <w:pStyle w:val="Pieddepage"/>
          <w:jc w:val="center"/>
        </w:pPr>
        <w:r>
          <w:fldChar w:fldCharType="begin"/>
        </w:r>
        <w:r>
          <w:instrText>PAGE   \* MERGEFORMAT</w:instrText>
        </w:r>
        <w:r>
          <w:fldChar w:fldCharType="separate"/>
        </w:r>
        <w:r>
          <w:t>2</w:t>
        </w:r>
        <w:r>
          <w:fldChar w:fldCharType="end"/>
        </w:r>
      </w:p>
    </w:sdtContent>
  </w:sdt>
  <w:p w14:paraId="70405C8E" w14:textId="77777777" w:rsidR="00B43DE9" w:rsidRDefault="00B43DE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CB4D5" w14:textId="77777777" w:rsidR="00F15675" w:rsidRDefault="00F15675" w:rsidP="00EA0A20">
      <w:pPr>
        <w:spacing w:after="0" w:line="240" w:lineRule="auto"/>
      </w:pPr>
      <w:r>
        <w:separator/>
      </w:r>
    </w:p>
  </w:footnote>
  <w:footnote w:type="continuationSeparator" w:id="0">
    <w:p w14:paraId="0A3EFD17" w14:textId="77777777" w:rsidR="00F15675" w:rsidRDefault="00F15675" w:rsidP="00EA0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08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994"/>
    </w:tblGrid>
    <w:tr w:rsidR="00EA0A20" w:rsidRPr="00826BBC" w14:paraId="1ED44AC1" w14:textId="77777777" w:rsidTr="003578E7">
      <w:tc>
        <w:tcPr>
          <w:tcW w:w="7088" w:type="dxa"/>
        </w:tcPr>
        <w:p w14:paraId="5B27BBC5" w14:textId="77777777" w:rsidR="00EA0A20" w:rsidRDefault="00EA0A20" w:rsidP="00EA0A20">
          <w:pPr>
            <w:pStyle w:val="En-tte"/>
          </w:pPr>
          <w:r>
            <w:rPr>
              <w:noProof/>
            </w:rPr>
            <w:drawing>
              <wp:inline distT="0" distB="0" distL="0" distR="0" wp14:anchorId="22AF02F9" wp14:editId="2F11D83C">
                <wp:extent cx="2019300" cy="1134745"/>
                <wp:effectExtent l="0" t="0" r="0" b="825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1134745"/>
                        </a:xfrm>
                        <a:prstGeom prst="rect">
                          <a:avLst/>
                        </a:prstGeom>
                        <a:noFill/>
                        <a:ln>
                          <a:noFill/>
                        </a:ln>
                      </pic:spPr>
                    </pic:pic>
                  </a:graphicData>
                </a:graphic>
              </wp:inline>
            </w:drawing>
          </w:r>
        </w:p>
      </w:tc>
      <w:tc>
        <w:tcPr>
          <w:tcW w:w="2994" w:type="dxa"/>
        </w:tcPr>
        <w:p w14:paraId="1E5B5A9F" w14:textId="77777777" w:rsidR="00EA0A20" w:rsidRDefault="00EA0A20" w:rsidP="00EA0A20">
          <w:pPr>
            <w:pStyle w:val="En-tte"/>
            <w:jc w:val="right"/>
          </w:pPr>
        </w:p>
        <w:p w14:paraId="31B04860" w14:textId="3D763F64" w:rsidR="00EA0A20" w:rsidRPr="00826BBC" w:rsidRDefault="003578E7" w:rsidP="003578E7">
          <w:pPr>
            <w:pStyle w:val="En-tte"/>
            <w:ind w:left="-234" w:right="-105"/>
            <w:jc w:val="right"/>
            <w:rPr>
              <w:color w:val="0088C9"/>
              <w:sz w:val="24"/>
              <w:lang w:val="es-ES"/>
            </w:rPr>
          </w:pPr>
          <w:r>
            <w:rPr>
              <w:color w:val="0088C9"/>
              <w:sz w:val="24"/>
              <w:lang w:val="es-ES"/>
            </w:rPr>
            <w:t xml:space="preserve">COVID-19 </w:t>
          </w:r>
          <w:r w:rsidR="00282945">
            <w:rPr>
              <w:color w:val="0088C9"/>
              <w:sz w:val="24"/>
              <w:lang w:val="es-ES"/>
            </w:rPr>
            <w:br/>
          </w:r>
          <w:r w:rsidR="00282945" w:rsidRPr="00282945">
            <w:rPr>
              <w:color w:val="0088C9"/>
              <w:sz w:val="24"/>
              <w:lang w:val="es-ES"/>
            </w:rPr>
            <w:t xml:space="preserve">PRACTICLE DATA SHEET </w:t>
          </w:r>
          <w:r w:rsidR="00FA330B">
            <w:rPr>
              <w:color w:val="0088C9"/>
              <w:sz w:val="24"/>
              <w:lang w:val="es-ES"/>
            </w:rPr>
            <w:t>4</w:t>
          </w:r>
        </w:p>
        <w:p w14:paraId="52D550B5" w14:textId="77777777" w:rsidR="00B76310" w:rsidRPr="00826BBC" w:rsidRDefault="00B76310" w:rsidP="00EA0A20">
          <w:pPr>
            <w:pStyle w:val="En-tte"/>
            <w:jc w:val="right"/>
            <w:rPr>
              <w:caps/>
              <w:color w:val="0088C9"/>
              <w:sz w:val="24"/>
              <w:lang w:val="es-ES"/>
            </w:rPr>
          </w:pPr>
        </w:p>
        <w:p w14:paraId="5C8614AE" w14:textId="77777777" w:rsidR="00B76310" w:rsidRPr="00826BBC" w:rsidRDefault="00B76310" w:rsidP="00EA0A20">
          <w:pPr>
            <w:pStyle w:val="En-tte"/>
            <w:jc w:val="right"/>
            <w:rPr>
              <w:caps/>
              <w:lang w:val="es-ES"/>
            </w:rPr>
          </w:pPr>
          <w:r w:rsidRPr="00826BBC">
            <w:rPr>
              <w:i/>
              <w:lang w:val="es-ES"/>
            </w:rPr>
            <w:t>http://www.ncazeau.com nathalie.cazeau@ncazeau.com</w:t>
          </w:r>
        </w:p>
      </w:tc>
    </w:tr>
  </w:tbl>
  <w:p w14:paraId="51448509" w14:textId="77777777" w:rsidR="00EA0A20" w:rsidRPr="00826BBC" w:rsidRDefault="00EA0A20" w:rsidP="00EA0A20">
    <w:pPr>
      <w:pStyle w:val="En-tte"/>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4D791" w14:textId="77777777" w:rsidR="00B76310" w:rsidRDefault="00B76310" w:rsidP="00B76310">
    <w:pPr>
      <w:pStyle w:val="En-tte"/>
      <w:ind w:left="3402"/>
    </w:pPr>
    <w:r>
      <w:rPr>
        <w:noProof/>
      </w:rPr>
      <w:drawing>
        <wp:inline distT="0" distB="0" distL="0" distR="0" wp14:anchorId="5AA13E1A" wp14:editId="76D85025">
          <wp:extent cx="2019300" cy="1134745"/>
          <wp:effectExtent l="0" t="0" r="0" b="825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1134745"/>
                  </a:xfrm>
                  <a:prstGeom prst="rect">
                    <a:avLst/>
                  </a:prstGeom>
                  <a:noFill/>
                  <a:ln>
                    <a:noFill/>
                  </a:ln>
                </pic:spPr>
              </pic:pic>
            </a:graphicData>
          </a:graphic>
        </wp:inline>
      </w:drawing>
    </w: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3691"/>
    </w:tblGrid>
    <w:tr w:rsidR="00B76310" w14:paraId="11F4474C" w14:textId="77777777" w:rsidTr="00AA1B31">
      <w:trPr>
        <w:trHeight w:val="80"/>
      </w:trPr>
      <w:tc>
        <w:tcPr>
          <w:tcW w:w="3397" w:type="dxa"/>
          <w:tcBorders>
            <w:right w:val="single" w:sz="4" w:space="0" w:color="auto"/>
          </w:tcBorders>
        </w:tcPr>
        <w:p w14:paraId="09FEC6F9" w14:textId="5F411555" w:rsidR="00B76310" w:rsidRPr="00826BBC" w:rsidRDefault="00B76310" w:rsidP="00B76310">
          <w:pPr>
            <w:pStyle w:val="En-tte"/>
            <w:jc w:val="center"/>
            <w:rPr>
              <w:i/>
              <w:lang w:val="en-US"/>
            </w:rPr>
          </w:pPr>
          <w:r w:rsidRPr="00826BBC">
            <w:rPr>
              <w:i/>
              <w:lang w:val="en-US"/>
            </w:rPr>
            <w:t xml:space="preserve">web : http://www.ncazeau.com  </w:t>
          </w:r>
        </w:p>
      </w:tc>
      <w:tc>
        <w:tcPr>
          <w:tcW w:w="3691" w:type="dxa"/>
          <w:tcBorders>
            <w:left w:val="single" w:sz="4" w:space="0" w:color="auto"/>
          </w:tcBorders>
        </w:tcPr>
        <w:p w14:paraId="0E23E426" w14:textId="77777777" w:rsidR="00B76310" w:rsidRDefault="00B76310" w:rsidP="00B76310">
          <w:pPr>
            <w:pStyle w:val="En-tte"/>
            <w:jc w:val="center"/>
            <w:rPr>
              <w:i/>
            </w:rPr>
          </w:pPr>
          <w:r w:rsidRPr="00EF0D0A">
            <w:rPr>
              <w:i/>
            </w:rPr>
            <w:t>email : nathalie.cazeau@ncazeau.com</w:t>
          </w:r>
        </w:p>
      </w:tc>
    </w:tr>
  </w:tbl>
  <w:p w14:paraId="635FD8A4" w14:textId="77777777" w:rsidR="00EA0A20" w:rsidRDefault="00EA0A20" w:rsidP="00B7631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6544D"/>
    <w:multiLevelType w:val="hybridMultilevel"/>
    <w:tmpl w:val="C40EE868"/>
    <w:lvl w:ilvl="0" w:tplc="FAD2D8B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2D78FF"/>
    <w:multiLevelType w:val="hybridMultilevel"/>
    <w:tmpl w:val="B78295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5E4756"/>
    <w:multiLevelType w:val="hybridMultilevel"/>
    <w:tmpl w:val="6ECAB752"/>
    <w:lvl w:ilvl="0" w:tplc="4254E2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E9867B8"/>
    <w:multiLevelType w:val="hybridMultilevel"/>
    <w:tmpl w:val="985439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5A5D39"/>
    <w:multiLevelType w:val="hybridMultilevel"/>
    <w:tmpl w:val="294EDB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A67D34"/>
    <w:multiLevelType w:val="hybridMultilevel"/>
    <w:tmpl w:val="6D8ABB84"/>
    <w:lvl w:ilvl="0" w:tplc="A6D47F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AE79A3"/>
    <w:multiLevelType w:val="hybridMultilevel"/>
    <w:tmpl w:val="9CA28CE2"/>
    <w:lvl w:ilvl="0" w:tplc="CCBA790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F83BE9"/>
    <w:multiLevelType w:val="hybridMultilevel"/>
    <w:tmpl w:val="4BC8B4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715A79"/>
    <w:multiLevelType w:val="hybridMultilevel"/>
    <w:tmpl w:val="468483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2A239C7"/>
    <w:multiLevelType w:val="hybridMultilevel"/>
    <w:tmpl w:val="78B2BC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3A873B4"/>
    <w:multiLevelType w:val="hybridMultilevel"/>
    <w:tmpl w:val="C6B0C688"/>
    <w:lvl w:ilvl="0" w:tplc="452E8A78">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344D2466"/>
    <w:multiLevelType w:val="hybridMultilevel"/>
    <w:tmpl w:val="75E06E70"/>
    <w:lvl w:ilvl="0" w:tplc="00ECAF3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0340147"/>
    <w:multiLevelType w:val="hybridMultilevel"/>
    <w:tmpl w:val="4BE069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2A40637"/>
    <w:multiLevelType w:val="hybridMultilevel"/>
    <w:tmpl w:val="28AE0336"/>
    <w:lvl w:ilvl="0" w:tplc="57AAAD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B6F20A8"/>
    <w:multiLevelType w:val="hybridMultilevel"/>
    <w:tmpl w:val="2346992E"/>
    <w:lvl w:ilvl="0" w:tplc="449ED88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60101C"/>
    <w:multiLevelType w:val="hybridMultilevel"/>
    <w:tmpl w:val="B112726E"/>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5"/>
  </w:num>
  <w:num w:numId="5">
    <w:abstractNumId w:val="12"/>
  </w:num>
  <w:num w:numId="6">
    <w:abstractNumId w:val="7"/>
  </w:num>
  <w:num w:numId="7">
    <w:abstractNumId w:val="14"/>
  </w:num>
  <w:num w:numId="8">
    <w:abstractNumId w:val="9"/>
  </w:num>
  <w:num w:numId="9">
    <w:abstractNumId w:val="3"/>
  </w:num>
  <w:num w:numId="10">
    <w:abstractNumId w:val="10"/>
  </w:num>
  <w:num w:numId="11">
    <w:abstractNumId w:val="1"/>
  </w:num>
  <w:num w:numId="12">
    <w:abstractNumId w:val="8"/>
  </w:num>
  <w:num w:numId="13">
    <w:abstractNumId w:val="11"/>
  </w:num>
  <w:num w:numId="14">
    <w:abstractNumId w:val="5"/>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F48"/>
    <w:rsid w:val="000078A5"/>
    <w:rsid w:val="00013098"/>
    <w:rsid w:val="00030EBE"/>
    <w:rsid w:val="00032EC6"/>
    <w:rsid w:val="000B7ED4"/>
    <w:rsid w:val="000C4297"/>
    <w:rsid w:val="000D6016"/>
    <w:rsid w:val="000F3079"/>
    <w:rsid w:val="00133683"/>
    <w:rsid w:val="00150809"/>
    <w:rsid w:val="001911D2"/>
    <w:rsid w:val="00193777"/>
    <w:rsid w:val="001C1778"/>
    <w:rsid w:val="001F183D"/>
    <w:rsid w:val="0021295B"/>
    <w:rsid w:val="00241C2A"/>
    <w:rsid w:val="00244D2D"/>
    <w:rsid w:val="002654B1"/>
    <w:rsid w:val="00270FB2"/>
    <w:rsid w:val="00282945"/>
    <w:rsid w:val="002A5E1C"/>
    <w:rsid w:val="00317E38"/>
    <w:rsid w:val="00326624"/>
    <w:rsid w:val="00343E60"/>
    <w:rsid w:val="00347B9F"/>
    <w:rsid w:val="003578E7"/>
    <w:rsid w:val="00377CDA"/>
    <w:rsid w:val="003E7309"/>
    <w:rsid w:val="00402B48"/>
    <w:rsid w:val="0041646E"/>
    <w:rsid w:val="00471B81"/>
    <w:rsid w:val="004726AD"/>
    <w:rsid w:val="0047773E"/>
    <w:rsid w:val="00477D1E"/>
    <w:rsid w:val="004A5F79"/>
    <w:rsid w:val="004E3B10"/>
    <w:rsid w:val="005113D6"/>
    <w:rsid w:val="00520306"/>
    <w:rsid w:val="00526187"/>
    <w:rsid w:val="00556696"/>
    <w:rsid w:val="005B4B8D"/>
    <w:rsid w:val="005F2F7B"/>
    <w:rsid w:val="00604359"/>
    <w:rsid w:val="00656F48"/>
    <w:rsid w:val="00683D0A"/>
    <w:rsid w:val="00693213"/>
    <w:rsid w:val="006A0F8F"/>
    <w:rsid w:val="006D66B6"/>
    <w:rsid w:val="006E41B3"/>
    <w:rsid w:val="007077EE"/>
    <w:rsid w:val="0071744C"/>
    <w:rsid w:val="00717F76"/>
    <w:rsid w:val="0074725A"/>
    <w:rsid w:val="00772402"/>
    <w:rsid w:val="00776A0F"/>
    <w:rsid w:val="007A77D9"/>
    <w:rsid w:val="007B61A4"/>
    <w:rsid w:val="007B7C33"/>
    <w:rsid w:val="007C203D"/>
    <w:rsid w:val="007F6C38"/>
    <w:rsid w:val="008055F1"/>
    <w:rsid w:val="00826BBC"/>
    <w:rsid w:val="00855944"/>
    <w:rsid w:val="00867A7C"/>
    <w:rsid w:val="00873992"/>
    <w:rsid w:val="008C2A37"/>
    <w:rsid w:val="008D01A9"/>
    <w:rsid w:val="008D0D6E"/>
    <w:rsid w:val="008E059D"/>
    <w:rsid w:val="009211FE"/>
    <w:rsid w:val="009A5907"/>
    <w:rsid w:val="00A150C6"/>
    <w:rsid w:val="00A16D97"/>
    <w:rsid w:val="00A25F7D"/>
    <w:rsid w:val="00A54B30"/>
    <w:rsid w:val="00A57F31"/>
    <w:rsid w:val="00A77D23"/>
    <w:rsid w:val="00AA5ADD"/>
    <w:rsid w:val="00AA748C"/>
    <w:rsid w:val="00AB31EA"/>
    <w:rsid w:val="00AE63FC"/>
    <w:rsid w:val="00AE6B7B"/>
    <w:rsid w:val="00B06DCC"/>
    <w:rsid w:val="00B13EB5"/>
    <w:rsid w:val="00B43DE9"/>
    <w:rsid w:val="00B76310"/>
    <w:rsid w:val="00B866B0"/>
    <w:rsid w:val="00BA1849"/>
    <w:rsid w:val="00BC445F"/>
    <w:rsid w:val="00C07553"/>
    <w:rsid w:val="00C11092"/>
    <w:rsid w:val="00C126AC"/>
    <w:rsid w:val="00C1334B"/>
    <w:rsid w:val="00C304ED"/>
    <w:rsid w:val="00C32894"/>
    <w:rsid w:val="00C40D8F"/>
    <w:rsid w:val="00CC2484"/>
    <w:rsid w:val="00CC2E9B"/>
    <w:rsid w:val="00CD119B"/>
    <w:rsid w:val="00CD6C57"/>
    <w:rsid w:val="00CF561B"/>
    <w:rsid w:val="00CF5798"/>
    <w:rsid w:val="00D14378"/>
    <w:rsid w:val="00D44653"/>
    <w:rsid w:val="00D7645C"/>
    <w:rsid w:val="00DC0D18"/>
    <w:rsid w:val="00DC7C2E"/>
    <w:rsid w:val="00E954EE"/>
    <w:rsid w:val="00E97866"/>
    <w:rsid w:val="00EA0A20"/>
    <w:rsid w:val="00EA5D54"/>
    <w:rsid w:val="00F1301D"/>
    <w:rsid w:val="00F15675"/>
    <w:rsid w:val="00F35F49"/>
    <w:rsid w:val="00F477E8"/>
    <w:rsid w:val="00F57884"/>
    <w:rsid w:val="00F6668D"/>
    <w:rsid w:val="00FA330B"/>
    <w:rsid w:val="00FB6D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2D269"/>
  <w15:chartTrackingRefBased/>
  <w15:docId w15:val="{691900F1-4ECC-4334-A1BC-061F43988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2E9B"/>
    <w:pPr>
      <w:ind w:left="720"/>
      <w:contextualSpacing/>
    </w:pPr>
  </w:style>
  <w:style w:type="character" w:styleId="Lienhypertexte">
    <w:name w:val="Hyperlink"/>
    <w:basedOn w:val="Policepardfaut"/>
    <w:uiPriority w:val="99"/>
    <w:unhideWhenUsed/>
    <w:rsid w:val="0071744C"/>
    <w:rPr>
      <w:color w:val="0563C1" w:themeColor="hyperlink"/>
      <w:u w:val="single"/>
    </w:rPr>
  </w:style>
  <w:style w:type="character" w:styleId="Mentionnonrsolue">
    <w:name w:val="Unresolved Mention"/>
    <w:basedOn w:val="Policepardfaut"/>
    <w:uiPriority w:val="99"/>
    <w:semiHidden/>
    <w:unhideWhenUsed/>
    <w:rsid w:val="0071744C"/>
    <w:rPr>
      <w:color w:val="605E5C"/>
      <w:shd w:val="clear" w:color="auto" w:fill="E1DFDD"/>
    </w:rPr>
  </w:style>
  <w:style w:type="paragraph" w:styleId="Textedebulles">
    <w:name w:val="Balloon Text"/>
    <w:basedOn w:val="Normal"/>
    <w:link w:val="TextedebullesCar"/>
    <w:uiPriority w:val="99"/>
    <w:semiHidden/>
    <w:unhideWhenUsed/>
    <w:rsid w:val="00A54B3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4B30"/>
    <w:rPr>
      <w:rFonts w:ascii="Segoe UI" w:hAnsi="Segoe UI" w:cs="Segoe UI"/>
      <w:sz w:val="18"/>
      <w:szCs w:val="18"/>
    </w:rPr>
  </w:style>
  <w:style w:type="paragraph" w:styleId="En-tte">
    <w:name w:val="header"/>
    <w:basedOn w:val="Normal"/>
    <w:link w:val="En-tteCar"/>
    <w:uiPriority w:val="99"/>
    <w:unhideWhenUsed/>
    <w:rsid w:val="00EA0A20"/>
    <w:pPr>
      <w:tabs>
        <w:tab w:val="center" w:pos="4536"/>
        <w:tab w:val="right" w:pos="9072"/>
      </w:tabs>
      <w:spacing w:after="0" w:line="240" w:lineRule="auto"/>
    </w:pPr>
  </w:style>
  <w:style w:type="character" w:customStyle="1" w:styleId="En-tteCar">
    <w:name w:val="En-tête Car"/>
    <w:basedOn w:val="Policepardfaut"/>
    <w:link w:val="En-tte"/>
    <w:uiPriority w:val="99"/>
    <w:rsid w:val="00EA0A20"/>
  </w:style>
  <w:style w:type="paragraph" w:styleId="Pieddepage">
    <w:name w:val="footer"/>
    <w:basedOn w:val="Normal"/>
    <w:link w:val="PieddepageCar"/>
    <w:uiPriority w:val="99"/>
    <w:unhideWhenUsed/>
    <w:rsid w:val="00EA0A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0A20"/>
  </w:style>
  <w:style w:type="table" w:styleId="Grilledutableau">
    <w:name w:val="Table Grid"/>
    <w:basedOn w:val="TableauNormal"/>
    <w:uiPriority w:val="39"/>
    <w:rsid w:val="00EA0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D119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867A7C"/>
    <w:rPr>
      <w:sz w:val="16"/>
      <w:szCs w:val="16"/>
    </w:rPr>
  </w:style>
  <w:style w:type="paragraph" w:styleId="Commentaire">
    <w:name w:val="annotation text"/>
    <w:basedOn w:val="Normal"/>
    <w:link w:val="CommentaireCar"/>
    <w:uiPriority w:val="99"/>
    <w:semiHidden/>
    <w:unhideWhenUsed/>
    <w:rsid w:val="00867A7C"/>
    <w:pPr>
      <w:spacing w:line="240" w:lineRule="auto"/>
    </w:pPr>
    <w:rPr>
      <w:sz w:val="20"/>
      <w:szCs w:val="20"/>
    </w:rPr>
  </w:style>
  <w:style w:type="character" w:customStyle="1" w:styleId="CommentaireCar">
    <w:name w:val="Commentaire Car"/>
    <w:basedOn w:val="Policepardfaut"/>
    <w:link w:val="Commentaire"/>
    <w:uiPriority w:val="99"/>
    <w:semiHidden/>
    <w:rsid w:val="00867A7C"/>
    <w:rPr>
      <w:sz w:val="20"/>
      <w:szCs w:val="20"/>
    </w:rPr>
  </w:style>
  <w:style w:type="paragraph" w:styleId="Objetducommentaire">
    <w:name w:val="annotation subject"/>
    <w:basedOn w:val="Commentaire"/>
    <w:next w:val="Commentaire"/>
    <w:link w:val="ObjetducommentaireCar"/>
    <w:uiPriority w:val="99"/>
    <w:semiHidden/>
    <w:unhideWhenUsed/>
    <w:rsid w:val="00867A7C"/>
    <w:rPr>
      <w:b/>
      <w:bCs/>
    </w:rPr>
  </w:style>
  <w:style w:type="character" w:customStyle="1" w:styleId="ObjetducommentaireCar">
    <w:name w:val="Objet du commentaire Car"/>
    <w:basedOn w:val="CommentaireCar"/>
    <w:link w:val="Objetducommentaire"/>
    <w:uiPriority w:val="99"/>
    <w:semiHidden/>
    <w:rsid w:val="00867A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2459">
      <w:bodyDiv w:val="1"/>
      <w:marLeft w:val="0"/>
      <w:marRight w:val="0"/>
      <w:marTop w:val="0"/>
      <w:marBottom w:val="0"/>
      <w:divBdr>
        <w:top w:val="none" w:sz="0" w:space="0" w:color="auto"/>
        <w:left w:val="none" w:sz="0" w:space="0" w:color="auto"/>
        <w:bottom w:val="none" w:sz="0" w:space="0" w:color="auto"/>
        <w:right w:val="none" w:sz="0" w:space="0" w:color="auto"/>
      </w:divBdr>
    </w:div>
    <w:div w:id="264389305">
      <w:bodyDiv w:val="1"/>
      <w:marLeft w:val="0"/>
      <w:marRight w:val="0"/>
      <w:marTop w:val="0"/>
      <w:marBottom w:val="0"/>
      <w:divBdr>
        <w:top w:val="none" w:sz="0" w:space="0" w:color="auto"/>
        <w:left w:val="none" w:sz="0" w:space="0" w:color="auto"/>
        <w:bottom w:val="none" w:sz="0" w:space="0" w:color="auto"/>
        <w:right w:val="none" w:sz="0" w:space="0" w:color="auto"/>
      </w:divBdr>
    </w:div>
    <w:div w:id="413668362">
      <w:bodyDiv w:val="1"/>
      <w:marLeft w:val="0"/>
      <w:marRight w:val="0"/>
      <w:marTop w:val="0"/>
      <w:marBottom w:val="0"/>
      <w:divBdr>
        <w:top w:val="none" w:sz="0" w:space="0" w:color="auto"/>
        <w:left w:val="none" w:sz="0" w:space="0" w:color="auto"/>
        <w:bottom w:val="none" w:sz="0" w:space="0" w:color="auto"/>
        <w:right w:val="none" w:sz="0" w:space="0" w:color="auto"/>
      </w:divBdr>
    </w:div>
    <w:div w:id="910971423">
      <w:bodyDiv w:val="1"/>
      <w:marLeft w:val="0"/>
      <w:marRight w:val="0"/>
      <w:marTop w:val="0"/>
      <w:marBottom w:val="0"/>
      <w:divBdr>
        <w:top w:val="none" w:sz="0" w:space="0" w:color="auto"/>
        <w:left w:val="none" w:sz="0" w:space="0" w:color="auto"/>
        <w:bottom w:val="none" w:sz="0" w:space="0" w:color="auto"/>
        <w:right w:val="none" w:sz="0" w:space="0" w:color="auto"/>
      </w:divBdr>
      <w:divsChild>
        <w:div w:id="1884051003">
          <w:marLeft w:val="0"/>
          <w:marRight w:val="0"/>
          <w:marTop w:val="0"/>
          <w:marBottom w:val="0"/>
          <w:divBdr>
            <w:top w:val="none" w:sz="0" w:space="0" w:color="auto"/>
            <w:left w:val="none" w:sz="0" w:space="0" w:color="auto"/>
            <w:bottom w:val="none" w:sz="0" w:space="0" w:color="auto"/>
            <w:right w:val="none" w:sz="0" w:space="0" w:color="auto"/>
          </w:divBdr>
        </w:div>
      </w:divsChild>
    </w:div>
    <w:div w:id="1454784393">
      <w:bodyDiv w:val="1"/>
      <w:marLeft w:val="0"/>
      <w:marRight w:val="0"/>
      <w:marTop w:val="0"/>
      <w:marBottom w:val="0"/>
      <w:divBdr>
        <w:top w:val="none" w:sz="0" w:space="0" w:color="auto"/>
        <w:left w:val="none" w:sz="0" w:space="0" w:color="auto"/>
        <w:bottom w:val="none" w:sz="0" w:space="0" w:color="auto"/>
        <w:right w:val="none" w:sz="0" w:space="0" w:color="auto"/>
      </w:divBdr>
    </w:div>
    <w:div w:id="1618557638">
      <w:bodyDiv w:val="1"/>
      <w:marLeft w:val="0"/>
      <w:marRight w:val="0"/>
      <w:marTop w:val="0"/>
      <w:marBottom w:val="0"/>
      <w:divBdr>
        <w:top w:val="none" w:sz="0" w:space="0" w:color="auto"/>
        <w:left w:val="none" w:sz="0" w:space="0" w:color="auto"/>
        <w:bottom w:val="none" w:sz="0" w:space="0" w:color="auto"/>
        <w:right w:val="none" w:sz="0" w:space="0" w:color="auto"/>
      </w:divBdr>
    </w:div>
    <w:div w:id="168270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1887019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azeau.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1075</TotalTime>
  <Pages>6</Pages>
  <Words>1451</Words>
  <Characters>7986</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 User</dc:creator>
  <cp:keywords/>
  <dc:description/>
  <cp:lastModifiedBy>Christopher JACQUET-CORTÈS</cp:lastModifiedBy>
  <cp:revision>50</cp:revision>
  <cp:lastPrinted>2019-07-03T10:25:00Z</cp:lastPrinted>
  <dcterms:created xsi:type="dcterms:W3CDTF">2019-02-04T17:47:00Z</dcterms:created>
  <dcterms:modified xsi:type="dcterms:W3CDTF">2020-03-31T09:08:00Z</dcterms:modified>
</cp:coreProperties>
</file>